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20" w:lineRule="atLeast"/>
        <w:rPr>
          <w:rFonts w:ascii="方正小标宋简体" w:hAnsi="华文中宋" w:eastAsia="方正小标宋简体"/>
          <w:b/>
          <w:sz w:val="44"/>
          <w:szCs w:val="44"/>
        </w:rPr>
      </w:pPr>
    </w:p>
    <w:p>
      <w:pPr>
        <w:adjustRightInd/>
        <w:snapToGrid/>
        <w:spacing w:line="220" w:lineRule="atLeast"/>
        <w:jc w:val="center"/>
        <w:rPr>
          <w:rFonts w:ascii="方正小标宋简体" w:hAnsi="华文中宋" w:eastAsia="方正小标宋简体"/>
          <w:b/>
          <w:sz w:val="44"/>
          <w:szCs w:val="44"/>
        </w:rPr>
      </w:pPr>
    </w:p>
    <w:p>
      <w:pPr>
        <w:adjustRightInd/>
        <w:snapToGrid/>
        <w:spacing w:line="220" w:lineRule="atLeast"/>
        <w:jc w:val="center"/>
        <w:rPr>
          <w:rFonts w:ascii="方正小标宋简体" w:hAnsi="华文中宋" w:eastAsia="方正小标宋简体"/>
          <w:b/>
          <w:sz w:val="48"/>
          <w:szCs w:val="48"/>
        </w:rPr>
      </w:pPr>
    </w:p>
    <w:p>
      <w:pPr>
        <w:adjustRightInd/>
        <w:snapToGrid/>
        <w:spacing w:line="220" w:lineRule="atLeast"/>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河北玉田农村商业银行股份有限公司</w:t>
      </w:r>
    </w:p>
    <w:p>
      <w:pPr>
        <w:adjustRightInd/>
        <w:snapToGrid/>
        <w:spacing w:line="220" w:lineRule="atLeast"/>
        <w:jc w:val="center"/>
        <w:rPr>
          <w:rFonts w:hint="eastAsia" w:ascii="方正小标宋_GBK" w:hAnsi="方正小标宋_GBK" w:eastAsia="方正小标宋_GBK" w:cs="方正小标宋_GBK"/>
          <w:b w:val="0"/>
          <w:bCs/>
          <w:sz w:val="48"/>
          <w:szCs w:val="48"/>
        </w:rPr>
      </w:pPr>
      <w:r>
        <w:rPr>
          <w:rFonts w:hint="eastAsia" w:ascii="方正小标宋_GBK" w:hAnsi="方正小标宋_GBK" w:eastAsia="方正小标宋_GBK" w:cs="方正小标宋_GBK"/>
          <w:b w:val="0"/>
          <w:bCs/>
          <w:sz w:val="48"/>
          <w:szCs w:val="48"/>
        </w:rPr>
        <w:t>20</w:t>
      </w:r>
      <w:r>
        <w:rPr>
          <w:rFonts w:hint="eastAsia" w:ascii="方正小标宋_GBK" w:hAnsi="方正小标宋_GBK" w:eastAsia="方正小标宋_GBK" w:cs="方正小标宋_GBK"/>
          <w:b w:val="0"/>
          <w:bCs/>
          <w:sz w:val="48"/>
          <w:szCs w:val="48"/>
          <w:lang w:val="en-US" w:eastAsia="zh-CN"/>
        </w:rPr>
        <w:t>22</w:t>
      </w:r>
      <w:r>
        <w:rPr>
          <w:rFonts w:hint="eastAsia" w:ascii="方正小标宋_GBK" w:hAnsi="方正小标宋_GBK" w:eastAsia="方正小标宋_GBK" w:cs="方正小标宋_GBK"/>
          <w:b w:val="0"/>
          <w:bCs/>
          <w:sz w:val="48"/>
          <w:szCs w:val="48"/>
        </w:rPr>
        <w:t>年度信息披露报告</w:t>
      </w:r>
    </w:p>
    <w:p>
      <w:pPr>
        <w:adjustRightInd/>
        <w:snapToGrid/>
        <w:spacing w:line="220" w:lineRule="atLeast"/>
        <w:jc w:val="center"/>
        <w:rPr>
          <w:rFonts w:ascii="方正小标宋简体" w:hAnsi="华文中宋" w:eastAsia="方正小标宋简体"/>
          <w:b/>
          <w:sz w:val="48"/>
          <w:szCs w:val="48"/>
        </w:rPr>
      </w:pPr>
    </w:p>
    <w:p>
      <w:pPr>
        <w:adjustRightInd/>
        <w:snapToGrid/>
        <w:spacing w:line="220" w:lineRule="atLeast"/>
        <w:jc w:val="center"/>
        <w:rPr>
          <w:rFonts w:ascii="方正小标宋简体" w:hAnsi="华文中宋" w:eastAsia="方正小标宋简体"/>
          <w:b/>
          <w:sz w:val="48"/>
          <w:szCs w:val="48"/>
        </w:rPr>
      </w:pPr>
    </w:p>
    <w:p>
      <w:pPr>
        <w:adjustRightInd/>
        <w:snapToGrid/>
        <w:spacing w:line="220" w:lineRule="atLeast"/>
        <w:jc w:val="center"/>
        <w:rPr>
          <w:rFonts w:ascii="方正小标宋简体" w:hAnsi="华文中宋" w:eastAsia="方正小标宋简体"/>
          <w:b/>
          <w:sz w:val="48"/>
          <w:szCs w:val="48"/>
        </w:rPr>
      </w:pPr>
    </w:p>
    <w:p>
      <w:pPr>
        <w:adjustRightInd/>
        <w:snapToGrid/>
        <w:spacing w:line="220" w:lineRule="atLeast"/>
        <w:jc w:val="center"/>
        <w:rPr>
          <w:rFonts w:ascii="方正小标宋简体" w:hAnsi="华文中宋" w:eastAsia="方正小标宋简体"/>
          <w:b/>
          <w:sz w:val="48"/>
          <w:szCs w:val="48"/>
        </w:rPr>
      </w:pPr>
    </w:p>
    <w:p>
      <w:pPr>
        <w:adjustRightInd/>
        <w:snapToGrid/>
        <w:spacing w:line="220" w:lineRule="atLeast"/>
        <w:rPr>
          <w:rFonts w:ascii="仿宋_GB2312" w:hAnsi="华文中宋" w:eastAsia="仿宋_GB2312"/>
          <w:b/>
          <w:sz w:val="30"/>
          <w:szCs w:val="30"/>
        </w:rPr>
      </w:pPr>
    </w:p>
    <w:p>
      <w:pPr>
        <w:adjustRightInd/>
        <w:snapToGrid/>
        <w:spacing w:line="220" w:lineRule="atLeast"/>
        <w:rPr>
          <w:rFonts w:ascii="仿宋_GB2312" w:hAnsi="华文中宋" w:eastAsia="仿宋_GB2312"/>
          <w:b/>
          <w:sz w:val="30"/>
          <w:szCs w:val="30"/>
        </w:rPr>
      </w:pPr>
    </w:p>
    <w:p>
      <w:pPr>
        <w:adjustRightInd/>
        <w:snapToGrid/>
        <w:spacing w:line="220" w:lineRule="atLeast"/>
        <w:rPr>
          <w:rFonts w:ascii="仿宋_GB2312" w:hAnsi="华文中宋" w:eastAsia="仿宋_GB2312"/>
          <w:b/>
          <w:sz w:val="30"/>
          <w:szCs w:val="30"/>
        </w:rPr>
      </w:pPr>
    </w:p>
    <w:p>
      <w:pPr>
        <w:adjustRightInd/>
        <w:snapToGrid/>
        <w:spacing w:line="220" w:lineRule="atLeast"/>
        <w:jc w:val="center"/>
        <w:rPr>
          <w:rFonts w:ascii="仿宋_GB2312" w:hAnsi="华文中宋" w:eastAsia="仿宋_GB2312"/>
          <w:b/>
          <w:sz w:val="30"/>
          <w:szCs w:val="30"/>
        </w:rPr>
      </w:pPr>
    </w:p>
    <w:p>
      <w:pPr>
        <w:adjustRightInd/>
        <w:snapToGrid/>
        <w:spacing w:line="220" w:lineRule="atLeast"/>
        <w:jc w:val="center"/>
        <w:rPr>
          <w:rFonts w:ascii="仿宋_GB2312" w:hAnsi="华文中宋" w:eastAsia="仿宋_GB2312"/>
          <w:b/>
          <w:sz w:val="30"/>
          <w:szCs w:val="30"/>
        </w:rPr>
      </w:pPr>
    </w:p>
    <w:p>
      <w:pPr>
        <w:adjustRightInd/>
        <w:snapToGrid/>
        <w:spacing w:line="220" w:lineRule="atLeast"/>
        <w:jc w:val="center"/>
        <w:rPr>
          <w:rFonts w:ascii="仿宋_GB2312" w:hAnsi="华文中宋" w:eastAsia="仿宋_GB2312"/>
          <w:b/>
          <w:sz w:val="30"/>
          <w:szCs w:val="30"/>
        </w:rPr>
      </w:pPr>
      <w:r>
        <w:rPr>
          <w:rFonts w:hint="eastAsia" w:ascii="仿宋_GB2312" w:hAnsi="华文中宋" w:eastAsia="仿宋_GB2312"/>
          <w:b/>
          <w:sz w:val="30"/>
          <w:szCs w:val="30"/>
        </w:rPr>
        <w:t>公示日期：202</w:t>
      </w:r>
      <w:r>
        <w:rPr>
          <w:rFonts w:hint="eastAsia" w:ascii="仿宋_GB2312" w:hAnsi="华文中宋" w:eastAsia="仿宋_GB2312"/>
          <w:b/>
          <w:sz w:val="30"/>
          <w:szCs w:val="30"/>
          <w:lang w:val="en-US" w:eastAsia="zh-CN"/>
        </w:rPr>
        <w:t>3</w:t>
      </w:r>
      <w:r>
        <w:rPr>
          <w:rFonts w:hint="eastAsia" w:ascii="仿宋_GB2312" w:hAnsi="华文中宋" w:eastAsia="仿宋_GB2312"/>
          <w:b/>
          <w:sz w:val="30"/>
          <w:szCs w:val="30"/>
        </w:rPr>
        <w:t>年</w:t>
      </w:r>
      <w:r>
        <w:rPr>
          <w:rFonts w:hint="eastAsia" w:ascii="仿宋_GB2312" w:hAnsi="华文中宋" w:eastAsia="仿宋_GB2312"/>
          <w:b/>
          <w:sz w:val="30"/>
          <w:szCs w:val="30"/>
          <w:lang w:val="en-US" w:eastAsia="zh-CN"/>
        </w:rPr>
        <w:t>3</w:t>
      </w:r>
      <w:r>
        <w:rPr>
          <w:rFonts w:hint="eastAsia" w:ascii="仿宋_GB2312" w:hAnsi="华文中宋" w:eastAsia="仿宋_GB2312"/>
          <w:b/>
          <w:sz w:val="30"/>
          <w:szCs w:val="30"/>
        </w:rPr>
        <w:t>月</w:t>
      </w:r>
      <w:r>
        <w:rPr>
          <w:rFonts w:hint="eastAsia" w:ascii="仿宋_GB2312" w:hAnsi="华文中宋" w:eastAsia="仿宋_GB2312"/>
          <w:b/>
          <w:sz w:val="30"/>
          <w:szCs w:val="30"/>
          <w:lang w:val="en-US" w:eastAsia="zh-CN"/>
        </w:rPr>
        <w:t>16</w:t>
      </w:r>
      <w:r>
        <w:rPr>
          <w:rFonts w:hint="eastAsia" w:ascii="仿宋_GB2312" w:hAnsi="华文中宋" w:eastAsia="仿宋_GB2312"/>
          <w:b/>
          <w:sz w:val="30"/>
          <w:szCs w:val="30"/>
        </w:rPr>
        <w:t>日</w:t>
      </w:r>
    </w:p>
    <w:p>
      <w:pPr>
        <w:adjustRightInd/>
        <w:snapToGrid/>
        <w:spacing w:line="220" w:lineRule="atLeast"/>
        <w:jc w:val="center"/>
        <w:rPr>
          <w:rFonts w:ascii="仿宋_GB2312" w:hAnsi="华文中宋" w:eastAsia="仿宋_GB2312"/>
          <w:b/>
          <w:sz w:val="30"/>
          <w:szCs w:val="30"/>
        </w:rPr>
      </w:pPr>
      <w:r>
        <w:rPr>
          <w:rFonts w:hint="eastAsia" w:ascii="仿宋_GB2312" w:hAnsi="华文中宋" w:eastAsia="仿宋_GB2312"/>
          <w:b/>
          <w:sz w:val="30"/>
          <w:szCs w:val="30"/>
        </w:rPr>
        <w:t>联系地址：玉田县北环路北侧</w:t>
      </w:r>
      <w:r>
        <w:rPr>
          <w:rFonts w:hint="eastAsia" w:ascii="仿宋_GB2312" w:hAnsi="华文中宋" w:eastAsia="仿宋_GB2312"/>
          <w:b/>
          <w:sz w:val="30"/>
          <w:szCs w:val="30"/>
        </w:rPr>
        <w:br w:type="page"/>
      </w:r>
    </w:p>
    <w:p>
      <w:pPr>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河北玉田农村商业银行股份有限公司</w:t>
      </w:r>
    </w:p>
    <w:p>
      <w:pPr>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22</w:t>
      </w:r>
      <w:r>
        <w:rPr>
          <w:rFonts w:hint="eastAsia" w:ascii="方正小标宋_GBK" w:hAnsi="方正小标宋_GBK" w:eastAsia="方正小标宋_GBK" w:cs="方正小标宋_GBK"/>
          <w:b w:val="0"/>
          <w:bCs/>
          <w:sz w:val="44"/>
          <w:szCs w:val="44"/>
        </w:rPr>
        <w:t>年度信息披露报告</w:t>
      </w:r>
    </w:p>
    <w:p>
      <w:pPr>
        <w:shd w:val="clear" w:color="auto" w:fill="FFFFFF"/>
        <w:adjustRightInd/>
        <w:snapToGrid/>
        <w:spacing w:before="100" w:beforeAutospacing="1" w:after="100" w:afterAutospacing="1"/>
        <w:rPr>
          <w:rFonts w:ascii="黑体" w:hAnsi="黑体" w:eastAsia="黑体" w:cs="宋体"/>
          <w:color w:val="444444"/>
          <w:sz w:val="36"/>
          <w:szCs w:val="36"/>
        </w:rPr>
      </w:pPr>
    </w:p>
    <w:p>
      <w:pPr>
        <w:shd w:val="clear" w:color="auto" w:fill="FFFFFF"/>
        <w:adjustRightInd/>
        <w:snapToGrid/>
        <w:spacing w:before="100" w:beforeAutospacing="1" w:after="100" w:afterAutospacing="1"/>
        <w:rPr>
          <w:rFonts w:ascii="微软雅黑" w:hAnsi="微软雅黑" w:cs="宋体"/>
          <w:color w:val="444444"/>
          <w:sz w:val="32"/>
          <w:szCs w:val="32"/>
        </w:rPr>
      </w:pPr>
      <w:r>
        <w:rPr>
          <w:rFonts w:hint="eastAsia" w:ascii="黑体" w:hAnsi="黑体" w:eastAsia="黑体" w:cs="宋体"/>
          <w:color w:val="444444"/>
          <w:sz w:val="32"/>
          <w:szCs w:val="32"/>
        </w:rPr>
        <w:t>第一部分　基本情况介绍</w:t>
      </w:r>
    </w:p>
    <w:p>
      <w:pPr>
        <w:shd w:val="clear" w:color="auto" w:fill="FFFFFF"/>
        <w:adjustRightInd/>
        <w:snapToGrid/>
        <w:spacing w:before="100" w:beforeAutospacing="1" w:after="100" w:afterAutospacing="1"/>
        <w:rPr>
          <w:rFonts w:ascii="黑体" w:hAnsi="黑体" w:eastAsia="黑体" w:cs="宋体"/>
          <w:color w:val="444444"/>
          <w:sz w:val="32"/>
          <w:szCs w:val="32"/>
        </w:rPr>
      </w:pPr>
      <w:r>
        <w:rPr>
          <w:rFonts w:hint="eastAsia" w:ascii="黑体" w:hAnsi="黑体" w:eastAsia="黑体" w:cs="宋体"/>
          <w:color w:val="444444"/>
          <w:sz w:val="32"/>
          <w:szCs w:val="32"/>
        </w:rPr>
        <w:t>第二部分　主要业务指标数据</w:t>
      </w:r>
    </w:p>
    <w:p>
      <w:pPr>
        <w:shd w:val="clear" w:color="auto" w:fill="FFFFFF"/>
        <w:adjustRightInd/>
        <w:snapToGrid/>
        <w:spacing w:before="100" w:beforeAutospacing="1" w:after="100" w:afterAutospacing="1"/>
        <w:rPr>
          <w:rFonts w:ascii="微软雅黑" w:hAnsi="微软雅黑" w:cs="宋体"/>
          <w:color w:val="444444"/>
          <w:sz w:val="32"/>
          <w:szCs w:val="32"/>
        </w:rPr>
      </w:pPr>
      <w:r>
        <w:rPr>
          <w:rFonts w:hint="eastAsia" w:ascii="黑体" w:hAnsi="黑体" w:eastAsia="黑体" w:cs="宋体"/>
          <w:color w:val="444444"/>
          <w:sz w:val="32"/>
          <w:szCs w:val="32"/>
        </w:rPr>
        <w:t>第三部分　风险管理状况</w:t>
      </w:r>
    </w:p>
    <w:p>
      <w:pPr>
        <w:shd w:val="clear" w:color="auto" w:fill="FFFFFF"/>
        <w:adjustRightInd/>
        <w:snapToGrid/>
        <w:spacing w:before="100" w:beforeAutospacing="1" w:after="100" w:afterAutospacing="1"/>
        <w:rPr>
          <w:rFonts w:ascii="微软雅黑" w:hAnsi="微软雅黑" w:cs="宋体"/>
          <w:sz w:val="32"/>
          <w:szCs w:val="32"/>
        </w:rPr>
      </w:pPr>
      <w:r>
        <w:rPr>
          <w:rFonts w:hint="eastAsia" w:ascii="黑体" w:hAnsi="黑体" w:eastAsia="黑体" w:cs="宋体"/>
          <w:color w:val="444444"/>
          <w:sz w:val="32"/>
          <w:szCs w:val="32"/>
        </w:rPr>
        <w:t>第四部分　公司治理情况</w:t>
      </w:r>
    </w:p>
    <w:p>
      <w:pPr>
        <w:shd w:val="clear" w:color="auto" w:fill="FFFFFF"/>
        <w:adjustRightInd/>
        <w:snapToGrid/>
        <w:spacing w:before="100" w:beforeAutospacing="1" w:after="100" w:afterAutospacing="1"/>
        <w:rPr>
          <w:rFonts w:ascii="黑体" w:hAnsi="黑体" w:eastAsia="黑体" w:cs="宋体"/>
          <w:sz w:val="32"/>
          <w:szCs w:val="32"/>
          <w:highlight w:val="none"/>
        </w:rPr>
      </w:pPr>
      <w:r>
        <w:rPr>
          <w:rFonts w:hint="eastAsia" w:ascii="黑体" w:hAnsi="黑体" w:eastAsia="黑体" w:cs="宋体"/>
          <w:sz w:val="32"/>
          <w:szCs w:val="32"/>
          <w:highlight w:val="none"/>
        </w:rPr>
        <w:t>第五部分　重大事项</w:t>
      </w:r>
    </w:p>
    <w:p>
      <w:pPr>
        <w:shd w:val="clear" w:color="auto" w:fill="FFFFFF"/>
        <w:adjustRightInd/>
        <w:snapToGrid/>
        <w:spacing w:before="100" w:beforeAutospacing="1" w:after="100" w:afterAutospacing="1"/>
        <w:rPr>
          <w:rFonts w:ascii="黑体" w:hAnsi="黑体" w:eastAsia="黑体" w:cs="宋体"/>
          <w:sz w:val="32"/>
          <w:szCs w:val="32"/>
          <w:highlight w:val="none"/>
        </w:rPr>
      </w:pPr>
      <w:r>
        <w:rPr>
          <w:rFonts w:hint="eastAsia" w:ascii="黑体" w:hAnsi="黑体" w:eastAsia="黑体" w:cs="宋体"/>
          <w:sz w:val="32"/>
          <w:szCs w:val="32"/>
          <w:highlight w:val="none"/>
        </w:rPr>
        <w:t>第六部分　其他事项</w:t>
      </w:r>
    </w:p>
    <w:p>
      <w:pPr>
        <w:shd w:val="clear" w:color="auto" w:fill="FFFFFF"/>
        <w:adjustRightInd/>
        <w:snapToGrid/>
        <w:spacing w:before="100" w:beforeAutospacing="1" w:after="100" w:afterAutospacing="1"/>
        <w:rPr>
          <w:rFonts w:ascii="黑体" w:hAnsi="黑体" w:eastAsia="黑体" w:cs="宋体"/>
          <w:sz w:val="32"/>
          <w:szCs w:val="32"/>
          <w:highlight w:val="none"/>
        </w:rPr>
      </w:pPr>
      <w:r>
        <w:rPr>
          <w:rFonts w:hint="eastAsia" w:ascii="黑体" w:hAnsi="黑体" w:eastAsia="黑体" w:cs="宋体"/>
          <w:sz w:val="32"/>
          <w:szCs w:val="32"/>
          <w:highlight w:val="none"/>
        </w:rPr>
        <w:t>第七部分　重要提示</w:t>
      </w:r>
    </w:p>
    <w:p>
      <w:pPr>
        <w:shd w:val="clear" w:color="auto" w:fill="FFFFFF"/>
        <w:adjustRightInd/>
        <w:snapToGrid/>
        <w:spacing w:before="360" w:after="360"/>
        <w:jc w:val="center"/>
        <w:outlineLvl w:val="0"/>
        <w:rPr>
          <w:rFonts w:ascii="微软雅黑" w:hAnsi="微软雅黑" w:cs="宋体"/>
          <w:b/>
          <w:bCs/>
          <w:kern w:val="36"/>
          <w:sz w:val="48"/>
          <w:szCs w:val="48"/>
          <w:highlight w:val="none"/>
        </w:rPr>
      </w:pPr>
      <w:bookmarkStart w:id="0" w:name="_Toc219553389"/>
      <w:bookmarkEnd w:id="0"/>
      <w:r>
        <w:rPr>
          <w:rFonts w:hint="eastAsia" w:ascii="黑体" w:hAnsi="黑体" w:eastAsia="黑体" w:cs="宋体"/>
          <w:b/>
          <w:bCs/>
          <w:kern w:val="36"/>
          <w:sz w:val="36"/>
          <w:szCs w:val="36"/>
          <w:highlight w:val="none"/>
        </w:rPr>
        <w:t>第一部分　基本情况介绍</w:t>
      </w:r>
    </w:p>
    <w:p>
      <w:pPr>
        <w:shd w:val="clear" w:color="auto" w:fill="FFFFFF"/>
        <w:adjustRightInd/>
        <w:snapToGrid/>
        <w:spacing w:before="360" w:after="360" w:line="560" w:lineRule="exact"/>
        <w:ind w:firstLine="602" w:firstLineChars="200"/>
        <w:outlineLvl w:val="1"/>
        <w:rPr>
          <w:rFonts w:ascii="微软雅黑" w:hAnsi="微软雅黑" w:cs="宋体"/>
          <w:b/>
          <w:bCs/>
          <w:sz w:val="36"/>
          <w:szCs w:val="36"/>
          <w:highlight w:val="none"/>
        </w:rPr>
      </w:pPr>
      <w:bookmarkStart w:id="1" w:name="_Toc219553390"/>
      <w:bookmarkEnd w:id="1"/>
      <w:bookmarkStart w:id="2" w:name="_Toc219552550"/>
      <w:bookmarkEnd w:id="2"/>
      <w:bookmarkStart w:id="3" w:name="_Toc219474551"/>
      <w:bookmarkEnd w:id="3"/>
      <w:bookmarkStart w:id="4" w:name="_Toc203486357"/>
      <w:bookmarkEnd w:id="4"/>
      <w:bookmarkStart w:id="5" w:name="_Toc194887775"/>
      <w:bookmarkEnd w:id="5"/>
      <w:bookmarkStart w:id="6" w:name="_Toc194908723"/>
      <w:bookmarkEnd w:id="6"/>
      <w:bookmarkStart w:id="7" w:name="_Toc194886336"/>
      <w:bookmarkEnd w:id="7"/>
      <w:r>
        <w:rPr>
          <w:rFonts w:hint="eastAsia" w:ascii="黑体" w:hAnsi="黑体" w:eastAsia="黑体" w:cs="宋体"/>
          <w:b/>
          <w:bCs/>
          <w:sz w:val="30"/>
          <w:szCs w:val="30"/>
          <w:highlight w:val="none"/>
        </w:rPr>
        <w:t>1.1</w:t>
      </w:r>
      <w:r>
        <w:rPr>
          <w:rFonts w:hint="eastAsia" w:ascii="宋体" w:hAnsi="宋体" w:eastAsia="宋体" w:cs="宋体"/>
          <w:b/>
          <w:bCs/>
          <w:sz w:val="30"/>
          <w:szCs w:val="30"/>
          <w:highlight w:val="none"/>
        </w:rPr>
        <w:t> </w:t>
      </w:r>
      <w:r>
        <w:rPr>
          <w:rFonts w:hint="eastAsia" w:ascii="黑体" w:hAnsi="黑体" w:eastAsia="黑体" w:cs="宋体"/>
          <w:b/>
          <w:bCs/>
          <w:sz w:val="30"/>
          <w:szCs w:val="30"/>
          <w:highlight w:val="none"/>
        </w:rPr>
        <w:t>基本信息</w:t>
      </w:r>
    </w:p>
    <w:p>
      <w:pPr>
        <w:shd w:val="clear" w:color="auto" w:fill="FFFFFF"/>
        <w:adjustRightInd/>
        <w:snapToGrid/>
        <w:spacing w:after="0" w:line="560" w:lineRule="exact"/>
        <w:ind w:firstLine="602" w:firstLineChars="200"/>
        <w:rPr>
          <w:rFonts w:ascii="仿宋_GB2312" w:hAnsi="微软雅黑" w:eastAsia="仿宋_GB2312" w:cs="宋体"/>
          <w:sz w:val="30"/>
          <w:szCs w:val="30"/>
          <w:highlight w:val="none"/>
        </w:rPr>
      </w:pPr>
      <w:r>
        <w:rPr>
          <w:rFonts w:hint="eastAsia" w:ascii="仿宋_GB2312" w:hAnsi="微软雅黑" w:eastAsia="仿宋_GB2312" w:cs="宋体"/>
          <w:b/>
          <w:sz w:val="30"/>
          <w:szCs w:val="30"/>
          <w:highlight w:val="none"/>
        </w:rPr>
        <w:t>法定中文名称</w:t>
      </w:r>
      <w:r>
        <w:rPr>
          <w:rFonts w:hint="eastAsia" w:ascii="仿宋_GB2312" w:hAnsi="微软雅黑" w:eastAsia="仿宋_GB2312" w:cs="宋体"/>
          <w:sz w:val="30"/>
          <w:szCs w:val="30"/>
          <w:highlight w:val="none"/>
        </w:rPr>
        <w:t>：河北玉田农村商业银行股份有限公司（简称：玉田农商银行，下称“本行”）</w:t>
      </w:r>
    </w:p>
    <w:p>
      <w:pPr>
        <w:shd w:val="clear" w:color="auto" w:fill="FFFFFF"/>
        <w:adjustRightInd/>
        <w:snapToGrid/>
        <w:spacing w:after="0" w:line="560" w:lineRule="exact"/>
        <w:ind w:left="2658" w:leftChars="250" w:hanging="2108" w:hangingChars="700"/>
        <w:rPr>
          <w:rFonts w:ascii="仿宋_GB2312" w:hAnsi="微软雅黑" w:eastAsia="仿宋_GB2312" w:cs="宋体"/>
          <w:sz w:val="30"/>
          <w:szCs w:val="30"/>
          <w:highlight w:val="none"/>
        </w:rPr>
      </w:pPr>
      <w:r>
        <w:rPr>
          <w:rFonts w:hint="eastAsia" w:ascii="仿宋_GB2312" w:hAnsi="微软雅黑" w:eastAsia="仿宋_GB2312" w:cs="宋体"/>
          <w:b/>
          <w:sz w:val="30"/>
          <w:szCs w:val="30"/>
          <w:highlight w:val="none"/>
        </w:rPr>
        <w:t>法定英文名称：</w:t>
      </w:r>
      <w:r>
        <w:rPr>
          <w:rFonts w:ascii="Arial Narrow" w:hAnsi="Arial Narrow"/>
          <w:sz w:val="30"/>
          <w:szCs w:val="30"/>
          <w:highlight w:val="none"/>
        </w:rPr>
        <w:t>HebeiYutianRuralCommercialBankCompanyLimited</w:t>
      </w:r>
      <w:r>
        <w:rPr>
          <w:rFonts w:hint="eastAsia" w:ascii="仿宋_GB2312" w:hAnsi="微软雅黑" w:eastAsia="仿宋_GB2312" w:cs="宋体"/>
          <w:spacing w:val="-15"/>
          <w:sz w:val="30"/>
          <w:szCs w:val="30"/>
          <w:highlight w:val="none"/>
        </w:rPr>
        <w:t>.</w:t>
      </w:r>
      <w:r>
        <w:rPr>
          <w:rFonts w:hint="eastAsia" w:ascii="仿宋_GB2312" w:hAnsi="微软雅黑" w:eastAsia="仿宋_GB2312" w:cs="宋体"/>
          <w:sz w:val="30"/>
          <w:szCs w:val="30"/>
          <w:highlight w:val="none"/>
        </w:rPr>
        <w:t>(简称：</w:t>
      </w:r>
      <w:r>
        <w:rPr>
          <w:rFonts w:ascii="Arial Narrow" w:hAnsi="Arial Narrow"/>
          <w:sz w:val="30"/>
          <w:szCs w:val="30"/>
          <w:highlight w:val="none"/>
        </w:rPr>
        <w:t>Yutian</w:t>
      </w:r>
      <w:r>
        <w:rPr>
          <w:rFonts w:hint="eastAsia" w:ascii="Arial Narrow" w:hAnsi="Arial Narrow"/>
          <w:sz w:val="30"/>
          <w:szCs w:val="30"/>
          <w:highlight w:val="none"/>
        </w:rPr>
        <w:t xml:space="preserve"> Rural Commercial Bank</w:t>
      </w:r>
      <w:r>
        <w:rPr>
          <w:rFonts w:hint="eastAsia" w:ascii="仿宋_GB2312" w:hAnsi="微软雅黑" w:eastAsia="仿宋_GB2312" w:cs="宋体"/>
          <w:sz w:val="30"/>
          <w:szCs w:val="30"/>
          <w:highlight w:val="none"/>
        </w:rPr>
        <w:t>)</w:t>
      </w:r>
    </w:p>
    <w:p>
      <w:pPr>
        <w:shd w:val="clear" w:color="auto" w:fill="FFFFFF"/>
        <w:adjustRightInd/>
        <w:snapToGrid/>
        <w:spacing w:after="0" w:line="560" w:lineRule="exact"/>
        <w:ind w:firstLine="602" w:firstLineChars="200"/>
        <w:rPr>
          <w:rFonts w:hint="eastAsia" w:ascii="仿宋_GB2312" w:hAnsi="微软雅黑" w:eastAsia="仿宋_GB2312" w:cs="宋体"/>
          <w:sz w:val="30"/>
          <w:szCs w:val="30"/>
          <w:highlight w:val="none"/>
          <w:lang w:eastAsia="zh-CN"/>
        </w:rPr>
      </w:pPr>
      <w:r>
        <w:rPr>
          <w:rFonts w:hint="eastAsia" w:ascii="仿宋_GB2312" w:hAnsi="微软雅黑" w:eastAsia="仿宋_GB2312" w:cs="宋体"/>
          <w:b/>
          <w:sz w:val="30"/>
          <w:szCs w:val="30"/>
          <w:highlight w:val="none"/>
        </w:rPr>
        <w:t>法定代表人：</w:t>
      </w:r>
      <w:r>
        <w:rPr>
          <w:rFonts w:hint="eastAsia" w:ascii="仿宋_GB2312" w:hAnsi="微软雅黑" w:eastAsia="仿宋_GB2312" w:cs="宋体"/>
          <w:sz w:val="30"/>
          <w:szCs w:val="30"/>
          <w:highlight w:val="none"/>
          <w:lang w:eastAsia="zh-CN"/>
        </w:rPr>
        <w:t>李志强</w:t>
      </w:r>
    </w:p>
    <w:p>
      <w:pPr>
        <w:shd w:val="clear" w:color="auto" w:fill="FFFFFF"/>
        <w:adjustRightInd/>
        <w:snapToGrid/>
        <w:spacing w:after="0" w:line="560" w:lineRule="exact"/>
        <w:ind w:firstLine="600"/>
        <w:rPr>
          <w:rFonts w:ascii="仿宋_GB2312" w:hAnsi="微软雅黑" w:eastAsia="仿宋_GB2312" w:cs="宋体"/>
          <w:sz w:val="30"/>
          <w:szCs w:val="30"/>
          <w:highlight w:val="none"/>
        </w:rPr>
      </w:pPr>
      <w:r>
        <w:rPr>
          <w:rFonts w:hint="eastAsia" w:ascii="仿宋_GB2312" w:hAnsi="微软雅黑" w:eastAsia="仿宋_GB2312" w:cs="宋体"/>
          <w:b/>
          <w:sz w:val="30"/>
          <w:szCs w:val="30"/>
          <w:highlight w:val="none"/>
        </w:rPr>
        <w:t>营业执照号码：</w:t>
      </w:r>
      <w:r>
        <w:rPr>
          <w:rFonts w:hint="eastAsia" w:ascii="仿宋_GB2312" w:hAnsi="微软雅黑" w:eastAsia="仿宋_GB2312" w:cs="宋体"/>
          <w:bCs/>
          <w:sz w:val="30"/>
          <w:szCs w:val="30"/>
          <w:highlight w:val="none"/>
        </w:rPr>
        <w:t>91</w:t>
      </w:r>
      <w:r>
        <w:rPr>
          <w:rFonts w:hint="eastAsia" w:ascii="仿宋_GB2312" w:eastAsia="仿宋_GB2312" w:cs="Times New Roman"/>
          <w:sz w:val="30"/>
          <w:szCs w:val="30"/>
          <w:highlight w:val="none"/>
        </w:rPr>
        <w:t>130229798413444</w:t>
      </w:r>
      <w:r>
        <w:rPr>
          <w:rFonts w:hint="eastAsia" w:ascii="仿宋_GB2312" w:eastAsia="仿宋_GB2312"/>
          <w:sz w:val="30"/>
          <w:szCs w:val="30"/>
          <w:highlight w:val="none"/>
        </w:rPr>
        <w:t>L</w:t>
      </w:r>
    </w:p>
    <w:p>
      <w:pPr>
        <w:shd w:val="clear" w:color="auto" w:fill="FFFFFF"/>
        <w:adjustRightInd/>
        <w:snapToGrid/>
        <w:spacing w:after="0" w:line="560" w:lineRule="exact"/>
        <w:ind w:firstLine="600"/>
        <w:rPr>
          <w:rFonts w:ascii="微软雅黑" w:hAnsi="微软雅黑" w:cs="宋体"/>
          <w:sz w:val="18"/>
          <w:szCs w:val="18"/>
          <w:highlight w:val="none"/>
        </w:rPr>
      </w:pPr>
      <w:r>
        <w:rPr>
          <w:rFonts w:hint="eastAsia" w:ascii="仿宋_GB2312" w:hAnsi="微软雅黑" w:eastAsia="仿宋_GB2312" w:cs="宋体"/>
          <w:b/>
          <w:sz w:val="30"/>
          <w:szCs w:val="30"/>
          <w:highlight w:val="none"/>
        </w:rPr>
        <w:t>注册资本：</w:t>
      </w:r>
      <w:r>
        <w:rPr>
          <w:rFonts w:hint="eastAsia" w:ascii="仿宋_GB2312" w:hAnsi="微软雅黑" w:eastAsia="仿宋_GB2312" w:cs="宋体"/>
          <w:sz w:val="30"/>
          <w:szCs w:val="30"/>
          <w:highlight w:val="none"/>
          <w:lang w:val="en-US" w:eastAsia="zh-CN"/>
        </w:rPr>
        <w:t>63428.2128</w:t>
      </w:r>
      <w:r>
        <w:rPr>
          <w:rFonts w:hint="eastAsia" w:ascii="仿宋_GB2312" w:hAnsi="微软雅黑" w:eastAsia="仿宋_GB2312" w:cs="宋体"/>
          <w:sz w:val="30"/>
          <w:szCs w:val="30"/>
          <w:highlight w:val="none"/>
        </w:rPr>
        <w:t>万元</w:t>
      </w:r>
    </w:p>
    <w:p>
      <w:pPr>
        <w:shd w:val="clear" w:color="auto" w:fill="FFFFFF"/>
        <w:adjustRightInd/>
        <w:snapToGrid/>
        <w:spacing w:after="0" w:line="560" w:lineRule="exact"/>
        <w:ind w:firstLine="600"/>
        <w:rPr>
          <w:rFonts w:ascii="仿宋_GB2312" w:hAnsi="微软雅黑" w:eastAsia="仿宋_GB2312" w:cs="宋体"/>
          <w:sz w:val="30"/>
          <w:szCs w:val="30"/>
          <w:highlight w:val="none"/>
        </w:rPr>
      </w:pPr>
      <w:r>
        <w:rPr>
          <w:rFonts w:hint="eastAsia" w:ascii="仿宋_GB2312" w:hAnsi="微软雅黑" w:eastAsia="仿宋_GB2312" w:cs="宋体"/>
          <w:b/>
          <w:sz w:val="30"/>
          <w:szCs w:val="30"/>
          <w:highlight w:val="none"/>
        </w:rPr>
        <w:t>注册地址：</w:t>
      </w:r>
      <w:r>
        <w:rPr>
          <w:rFonts w:hint="eastAsia" w:ascii="仿宋_GB2312" w:hAnsi="微软雅黑" w:eastAsia="仿宋_GB2312" w:cs="宋体"/>
          <w:sz w:val="30"/>
          <w:szCs w:val="30"/>
          <w:highlight w:val="none"/>
        </w:rPr>
        <w:t>河北省玉田县北环路北侧     邮编：064199</w:t>
      </w:r>
    </w:p>
    <w:p>
      <w:pPr>
        <w:spacing w:after="0" w:line="560" w:lineRule="exact"/>
        <w:ind w:firstLine="662" w:firstLineChars="200"/>
        <w:rPr>
          <w:rFonts w:hint="eastAsia" w:ascii="仿宋_GB2312" w:hAnsi="微软雅黑" w:eastAsia="仿宋_GB2312" w:cs="宋体"/>
          <w:spacing w:val="15"/>
          <w:sz w:val="30"/>
          <w:szCs w:val="30"/>
          <w:highlight w:val="none"/>
        </w:rPr>
      </w:pPr>
      <w:bookmarkStart w:id="8" w:name="_Toc194886342"/>
      <w:bookmarkEnd w:id="8"/>
      <w:bookmarkStart w:id="9" w:name="_Toc194887781"/>
      <w:bookmarkEnd w:id="9"/>
      <w:r>
        <w:rPr>
          <w:rFonts w:hint="eastAsia" w:ascii="仿宋_GB2312" w:hAnsi="微软雅黑" w:eastAsia="仿宋_GB2312" w:cs="宋体"/>
          <w:b/>
          <w:spacing w:val="15"/>
          <w:sz w:val="30"/>
          <w:szCs w:val="30"/>
          <w:highlight w:val="none"/>
        </w:rPr>
        <w:t>业务范围：</w:t>
      </w:r>
      <w:r>
        <w:rPr>
          <w:rFonts w:hint="eastAsia" w:ascii="仿宋_GB2312" w:hAnsi="微软雅黑" w:eastAsia="仿宋_GB2312" w:cs="宋体"/>
          <w:spacing w:val="15"/>
          <w:sz w:val="30"/>
          <w:szCs w:val="30"/>
          <w:highlight w:val="none"/>
        </w:rPr>
        <w:t>吸收公众存款；发放短期、中期和长期贷款；办理国内结算；办理票据承兑与贴现；代理发行、代理兑付、承销政府债券；买卖政府债券、金融债券；从事同业拆借；代理收付款项及代理保险业务；从事银行卡（借记卡、信用卡）业务；保函业务；经国务院银行业监督管理机构批准的其他业务。</w:t>
      </w:r>
    </w:p>
    <w:p>
      <w:pPr>
        <w:shd w:val="clear" w:color="auto" w:fill="FFFFFF"/>
        <w:adjustRightInd/>
        <w:snapToGrid/>
        <w:spacing w:before="360" w:after="360" w:line="560" w:lineRule="exact"/>
        <w:ind w:firstLine="602" w:firstLineChars="200"/>
        <w:outlineLvl w:val="1"/>
        <w:rPr>
          <w:rFonts w:ascii="黑体" w:hAnsi="黑体" w:eastAsia="黑体" w:cs="宋体"/>
          <w:b/>
          <w:bCs/>
          <w:sz w:val="30"/>
          <w:szCs w:val="30"/>
          <w:highlight w:val="none"/>
        </w:rPr>
      </w:pPr>
      <w:r>
        <w:rPr>
          <w:rFonts w:hint="eastAsia" w:ascii="黑体" w:hAnsi="黑体" w:eastAsia="黑体" w:cs="宋体"/>
          <w:b/>
          <w:bCs/>
          <w:sz w:val="30"/>
          <w:szCs w:val="30"/>
          <w:highlight w:val="none"/>
        </w:rPr>
        <w:t>1.2  机构人员及内部职能机构、分支机构的设置</w:t>
      </w:r>
    </w:p>
    <w:p>
      <w:pPr>
        <w:spacing w:after="0" w:line="560" w:lineRule="exact"/>
        <w:ind w:firstLine="600" w:firstLineChars="200"/>
        <w:rPr>
          <w:rFonts w:ascii="仿宋_GB2312" w:hAnsi="微软雅黑" w:eastAsia="仿宋_GB2312" w:cs="宋体"/>
          <w:sz w:val="30"/>
          <w:szCs w:val="30"/>
          <w:highlight w:val="none"/>
        </w:rPr>
      </w:pPr>
      <w:bookmarkStart w:id="10" w:name="_Toc203486358"/>
      <w:bookmarkEnd w:id="10"/>
      <w:bookmarkStart w:id="11" w:name="_Toc219552551"/>
      <w:bookmarkEnd w:id="11"/>
      <w:bookmarkStart w:id="12" w:name="_Toc219553391"/>
      <w:bookmarkEnd w:id="12"/>
      <w:bookmarkStart w:id="13" w:name="_Toc219474552"/>
      <w:bookmarkEnd w:id="13"/>
      <w:r>
        <w:rPr>
          <w:rFonts w:hint="eastAsia" w:ascii="仿宋_GB2312" w:hAnsi="微软雅黑" w:eastAsia="仿宋_GB2312" w:cs="宋体"/>
          <w:sz w:val="30"/>
          <w:szCs w:val="30"/>
          <w:highlight w:val="none"/>
        </w:rPr>
        <w:t>截至20</w:t>
      </w:r>
      <w:r>
        <w:rPr>
          <w:rFonts w:hint="eastAsia" w:ascii="仿宋_GB2312" w:hAnsi="微软雅黑" w:eastAsia="仿宋_GB2312" w:cs="宋体"/>
          <w:sz w:val="30"/>
          <w:szCs w:val="30"/>
          <w:highlight w:val="none"/>
          <w:lang w:val="en-US" w:eastAsia="zh-CN"/>
        </w:rPr>
        <w:t>22</w:t>
      </w:r>
      <w:r>
        <w:rPr>
          <w:rFonts w:hint="eastAsia" w:ascii="仿宋_GB2312" w:hAnsi="微软雅黑" w:eastAsia="仿宋_GB2312" w:cs="宋体"/>
          <w:sz w:val="30"/>
          <w:szCs w:val="30"/>
          <w:highlight w:val="none"/>
        </w:rPr>
        <w:t>年末，本行下辖</w:t>
      </w:r>
      <w:r>
        <w:rPr>
          <w:rFonts w:hint="eastAsia" w:ascii="仿宋_GB2312" w:hAnsi="微软雅黑" w:eastAsia="仿宋_GB2312" w:cs="宋体"/>
          <w:sz w:val="30"/>
          <w:szCs w:val="30"/>
          <w:highlight w:val="none"/>
          <w:lang w:val="en-US" w:eastAsia="zh-CN"/>
        </w:rPr>
        <w:t>44</w:t>
      </w:r>
      <w:r>
        <w:rPr>
          <w:rFonts w:hint="eastAsia" w:ascii="仿宋_GB2312" w:hAnsi="微软雅黑" w:eastAsia="仿宋_GB2312" w:cs="宋体"/>
          <w:sz w:val="30"/>
          <w:szCs w:val="30"/>
          <w:highlight w:val="none"/>
        </w:rPr>
        <w:t>个营业网点，其中： 1个总行营业部、2</w:t>
      </w:r>
      <w:r>
        <w:rPr>
          <w:rFonts w:hint="eastAsia" w:ascii="仿宋_GB2312" w:hAnsi="微软雅黑" w:eastAsia="仿宋_GB2312" w:cs="宋体"/>
          <w:sz w:val="30"/>
          <w:szCs w:val="30"/>
          <w:highlight w:val="none"/>
          <w:lang w:val="en-US" w:eastAsia="zh-CN"/>
        </w:rPr>
        <w:t>5</w:t>
      </w:r>
      <w:r>
        <w:rPr>
          <w:rFonts w:hint="eastAsia" w:ascii="仿宋_GB2312" w:hAnsi="微软雅黑" w:eastAsia="仿宋_GB2312" w:cs="宋体"/>
          <w:sz w:val="30"/>
          <w:szCs w:val="30"/>
          <w:highlight w:val="none"/>
        </w:rPr>
        <w:t>个支行、</w:t>
      </w:r>
      <w:r>
        <w:rPr>
          <w:rFonts w:hint="eastAsia" w:ascii="仿宋_GB2312" w:hAnsi="微软雅黑" w:eastAsia="仿宋_GB2312" w:cs="宋体"/>
          <w:sz w:val="30"/>
          <w:szCs w:val="30"/>
          <w:highlight w:val="none"/>
          <w:lang w:val="en-US" w:eastAsia="zh-CN"/>
        </w:rPr>
        <w:t>18</w:t>
      </w:r>
      <w:r>
        <w:rPr>
          <w:rFonts w:hint="eastAsia" w:ascii="仿宋_GB2312" w:hAnsi="微软雅黑" w:eastAsia="仿宋_GB2312" w:cs="宋体"/>
          <w:sz w:val="30"/>
          <w:szCs w:val="30"/>
          <w:highlight w:val="none"/>
        </w:rPr>
        <w:t>个分理处</w:t>
      </w:r>
      <w:r>
        <w:rPr>
          <w:rFonts w:hint="eastAsia" w:ascii="仿宋_GB2312" w:hAnsi="微软雅黑" w:eastAsia="仿宋_GB2312" w:cs="宋体"/>
          <w:sz w:val="30"/>
          <w:szCs w:val="30"/>
          <w:highlight w:val="none"/>
          <w:lang w:eastAsia="zh-CN"/>
        </w:rPr>
        <w:t>，</w:t>
      </w:r>
      <w:r>
        <w:rPr>
          <w:rFonts w:hint="eastAsia" w:ascii="仿宋_GB2312" w:hAnsi="微软雅黑" w:eastAsia="仿宋_GB2312" w:cs="宋体"/>
          <w:sz w:val="30"/>
          <w:szCs w:val="30"/>
          <w:highlight w:val="none"/>
        </w:rPr>
        <w:t>在岗员工</w:t>
      </w:r>
      <w:r>
        <w:rPr>
          <w:rFonts w:hint="eastAsia" w:ascii="仿宋_GB2312" w:hAnsi="微软雅黑" w:eastAsia="仿宋_GB2312" w:cs="宋体"/>
          <w:sz w:val="30"/>
          <w:szCs w:val="30"/>
          <w:highlight w:val="none"/>
          <w:lang w:val="en-US" w:eastAsia="zh-CN"/>
        </w:rPr>
        <w:t>472</w:t>
      </w:r>
      <w:r>
        <w:rPr>
          <w:rFonts w:hint="eastAsia" w:ascii="仿宋_GB2312" w:hAnsi="微软雅黑" w:eastAsia="仿宋_GB2312" w:cs="宋体"/>
          <w:sz w:val="30"/>
          <w:szCs w:val="30"/>
          <w:highlight w:val="none"/>
        </w:rPr>
        <w:t>人。</w:t>
      </w:r>
    </w:p>
    <w:p>
      <w:pPr>
        <w:spacing w:beforeLines="50" w:afterLines="50" w:line="560" w:lineRule="exact"/>
        <w:ind w:firstLine="602" w:firstLineChars="200"/>
        <w:rPr>
          <w:rFonts w:hint="eastAsia" w:ascii="楷体" w:hAnsi="楷体" w:eastAsia="楷体" w:cs="Times New Roman"/>
          <w:b/>
          <w:sz w:val="30"/>
          <w:szCs w:val="30"/>
          <w:highlight w:val="none"/>
          <w:lang w:val="en-US" w:eastAsia="zh-CN"/>
        </w:rPr>
      </w:pPr>
      <w:r>
        <w:rPr>
          <w:rFonts w:hint="eastAsia" w:ascii="楷体" w:hAnsi="楷体" w:eastAsia="楷体" w:cs="宋体"/>
          <w:b/>
          <w:bCs/>
          <w:sz w:val="30"/>
          <w:szCs w:val="30"/>
          <w:highlight w:val="none"/>
        </w:rPr>
        <w:t xml:space="preserve">1.2.1  </w:t>
      </w:r>
      <w:r>
        <w:rPr>
          <w:rFonts w:hint="eastAsia" w:ascii="楷体" w:hAnsi="楷体" w:eastAsia="楷体" w:cs="Times New Roman"/>
          <w:b/>
          <w:sz w:val="30"/>
          <w:szCs w:val="30"/>
          <w:highlight w:val="none"/>
        </w:rPr>
        <w:t xml:space="preserve">内部职能部门 </w:t>
      </w:r>
      <w:r>
        <w:rPr>
          <w:rFonts w:hint="eastAsia" w:ascii="楷体" w:hAnsi="楷体" w:eastAsia="楷体" w:cs="Times New Roman"/>
          <w:b/>
          <w:sz w:val="30"/>
          <w:szCs w:val="30"/>
          <w:highlight w:val="none"/>
          <w:lang w:val="en-US" w:eastAsia="zh-CN"/>
        </w:rPr>
        <w:tab/>
      </w:r>
    </w:p>
    <w:p>
      <w:pPr>
        <w:spacing w:after="0" w:line="560" w:lineRule="exact"/>
        <w:ind w:firstLine="600" w:firstLineChars="200"/>
        <w:rPr>
          <w:rFonts w:ascii="仿宋_GB2312" w:hAnsi="仿宋" w:eastAsia="仿宋_GB2312" w:cs="Times New Roman"/>
          <w:sz w:val="30"/>
          <w:szCs w:val="30"/>
          <w:highlight w:val="none"/>
        </w:rPr>
      </w:pPr>
      <w:r>
        <w:rPr>
          <w:rFonts w:hint="eastAsia" w:ascii="仿宋_GB2312" w:hAnsi="仿宋" w:eastAsia="仿宋_GB2312"/>
          <w:sz w:val="30"/>
          <w:szCs w:val="30"/>
          <w:highlight w:val="none"/>
        </w:rPr>
        <w:t>本行</w:t>
      </w:r>
      <w:r>
        <w:rPr>
          <w:rFonts w:hint="eastAsia" w:ascii="仿宋_GB2312" w:hAnsi="仿宋" w:eastAsia="仿宋_GB2312" w:cs="Times New Roman"/>
          <w:sz w:val="30"/>
          <w:szCs w:val="30"/>
          <w:highlight w:val="none"/>
        </w:rPr>
        <w:t>按照“分工明确、相互协作、有效制衡”的原则，</w:t>
      </w:r>
      <w:r>
        <w:rPr>
          <w:rFonts w:hint="eastAsia" w:ascii="仿宋_GB2312" w:hAnsi="仿宋" w:eastAsia="仿宋_GB2312"/>
          <w:sz w:val="30"/>
          <w:szCs w:val="30"/>
          <w:highlight w:val="none"/>
        </w:rPr>
        <w:t>共</w:t>
      </w:r>
      <w:r>
        <w:rPr>
          <w:rFonts w:hint="eastAsia" w:ascii="仿宋_GB2312" w:hAnsi="仿宋" w:eastAsia="仿宋_GB2312" w:cs="Times New Roman"/>
          <w:sz w:val="30"/>
          <w:szCs w:val="30"/>
          <w:highlight w:val="none"/>
        </w:rPr>
        <w:t>设置</w:t>
      </w:r>
      <w:r>
        <w:rPr>
          <w:rFonts w:hint="eastAsia" w:ascii="仿宋_GB2312" w:hAnsi="仿宋" w:eastAsia="仿宋_GB2312"/>
          <w:sz w:val="30"/>
          <w:szCs w:val="30"/>
          <w:highlight w:val="none"/>
        </w:rPr>
        <w:t>1</w:t>
      </w:r>
      <w:r>
        <w:rPr>
          <w:rFonts w:hint="eastAsia" w:ascii="仿宋_GB2312" w:hAnsi="仿宋" w:eastAsia="仿宋_GB2312"/>
          <w:sz w:val="30"/>
          <w:szCs w:val="30"/>
          <w:highlight w:val="none"/>
          <w:lang w:val="en-US" w:eastAsia="zh-CN"/>
        </w:rPr>
        <w:t>8</w:t>
      </w:r>
      <w:r>
        <w:rPr>
          <w:rFonts w:hint="eastAsia" w:ascii="仿宋_GB2312" w:hAnsi="仿宋" w:eastAsia="仿宋_GB2312"/>
          <w:sz w:val="30"/>
          <w:szCs w:val="30"/>
          <w:highlight w:val="none"/>
        </w:rPr>
        <w:t>个</w:t>
      </w:r>
      <w:r>
        <w:rPr>
          <w:rFonts w:hint="eastAsia" w:ascii="仿宋_GB2312" w:hAnsi="仿宋" w:eastAsia="仿宋_GB2312" w:cs="Times New Roman"/>
          <w:sz w:val="30"/>
          <w:szCs w:val="30"/>
          <w:highlight w:val="none"/>
        </w:rPr>
        <w:t>内部职能部门</w:t>
      </w:r>
      <w:r>
        <w:rPr>
          <w:rFonts w:hint="eastAsia" w:ascii="仿宋_GB2312" w:hAnsi="仿宋" w:eastAsia="仿宋_GB2312"/>
          <w:sz w:val="30"/>
          <w:szCs w:val="30"/>
          <w:highlight w:val="none"/>
        </w:rPr>
        <w:t>。其中：</w:t>
      </w:r>
      <w:r>
        <w:rPr>
          <w:rFonts w:hint="eastAsia" w:ascii="仿宋_GB2312" w:hAnsi="仿宋" w:eastAsia="仿宋_GB2312" w:cs="Times New Roman"/>
          <w:sz w:val="30"/>
          <w:szCs w:val="30"/>
          <w:highlight w:val="none"/>
        </w:rPr>
        <w:t>公司业务部、个人业务部、</w:t>
      </w:r>
      <w:r>
        <w:rPr>
          <w:rFonts w:hint="eastAsia" w:ascii="仿宋_GB2312" w:hAnsi="仿宋" w:eastAsia="仿宋_GB2312" w:cs="Times New Roman"/>
          <w:sz w:val="30"/>
          <w:szCs w:val="30"/>
          <w:highlight w:val="none"/>
          <w:lang w:val="en-US" w:eastAsia="zh-CN"/>
        </w:rPr>
        <w:t>营业部、金融市场部、风险资产管理经营中心</w:t>
      </w:r>
      <w:r>
        <w:rPr>
          <w:rFonts w:hint="eastAsia" w:ascii="仿宋_GB2312" w:hAnsi="仿宋" w:eastAsia="仿宋_GB2312" w:cs="Times New Roman"/>
          <w:sz w:val="30"/>
          <w:szCs w:val="30"/>
          <w:highlight w:val="none"/>
        </w:rPr>
        <w:t>为前台部门；</w:t>
      </w:r>
      <w:r>
        <w:rPr>
          <w:rFonts w:hint="eastAsia" w:ascii="仿宋_GB2312" w:hAnsi="仿宋" w:eastAsia="仿宋_GB2312" w:cs="Times New Roman"/>
          <w:sz w:val="30"/>
          <w:szCs w:val="30"/>
          <w:highlight w:val="none"/>
          <w:lang w:val="en-US" w:eastAsia="zh-CN"/>
        </w:rPr>
        <w:t>信贷管理部、</w:t>
      </w:r>
      <w:r>
        <w:rPr>
          <w:rFonts w:hint="eastAsia" w:ascii="仿宋_GB2312" w:hAnsi="仿宋" w:eastAsia="仿宋_GB2312" w:cs="Times New Roman"/>
          <w:sz w:val="30"/>
          <w:szCs w:val="30"/>
          <w:highlight w:val="none"/>
        </w:rPr>
        <w:t>会计结算部（下设事后监督中心、对帐中心、远程授权中心3个二级部门）、</w:t>
      </w:r>
      <w:r>
        <w:rPr>
          <w:rFonts w:hint="eastAsia" w:ascii="仿宋_GB2312" w:hAnsi="仿宋" w:eastAsia="仿宋_GB2312" w:cs="Times New Roman"/>
          <w:sz w:val="30"/>
          <w:szCs w:val="30"/>
          <w:highlight w:val="none"/>
          <w:lang w:val="en-US" w:eastAsia="zh-CN"/>
        </w:rPr>
        <w:t>市场拓展部（科技部）</w:t>
      </w:r>
      <w:r>
        <w:rPr>
          <w:rFonts w:hint="eastAsia" w:ascii="仿宋_GB2312" w:hAnsi="仿宋" w:eastAsia="仿宋_GB2312" w:cs="Times New Roman"/>
          <w:sz w:val="30"/>
          <w:szCs w:val="30"/>
          <w:highlight w:val="none"/>
        </w:rPr>
        <w:t>为中台部门；办公室（党委办公室）、工会、人力资源部、计划财务部、</w:t>
      </w:r>
      <w:r>
        <w:rPr>
          <w:rFonts w:hint="eastAsia" w:ascii="仿宋_GB2312" w:hAnsi="仿宋" w:eastAsia="仿宋_GB2312" w:cs="Times New Roman"/>
          <w:sz w:val="30"/>
          <w:szCs w:val="30"/>
          <w:highlight w:val="none"/>
          <w:lang w:val="en-US" w:eastAsia="zh-CN"/>
        </w:rPr>
        <w:t>统计部、</w:t>
      </w:r>
      <w:r>
        <w:rPr>
          <w:rFonts w:hint="eastAsia" w:ascii="仿宋_GB2312" w:hAnsi="仿宋" w:eastAsia="仿宋_GB2312" w:cs="Times New Roman"/>
          <w:sz w:val="30"/>
          <w:szCs w:val="30"/>
          <w:highlight w:val="none"/>
        </w:rPr>
        <w:t>纪检监察室、审计部、安全保卫部、监控中心为后台部门。各职能部门的分工明确，职责清晰。</w:t>
      </w:r>
    </w:p>
    <w:p>
      <w:pPr>
        <w:spacing w:beforeLines="50" w:afterLines="50" w:line="560" w:lineRule="exact"/>
        <w:ind w:firstLine="602" w:firstLineChars="200"/>
        <w:rPr>
          <w:rFonts w:ascii="楷体" w:hAnsi="楷体" w:eastAsia="楷体" w:cs="宋体"/>
          <w:b/>
          <w:bCs/>
          <w:sz w:val="30"/>
          <w:szCs w:val="30"/>
          <w:highlight w:val="none"/>
        </w:rPr>
      </w:pPr>
      <w:r>
        <w:rPr>
          <w:rFonts w:hint="eastAsia" w:ascii="楷体" w:hAnsi="楷体" w:eastAsia="楷体" w:cs="宋体"/>
          <w:b/>
          <w:bCs/>
          <w:sz w:val="30"/>
          <w:szCs w:val="30"/>
          <w:highlight w:val="none"/>
        </w:rPr>
        <w:t>1.2.2  分支机构设置</w:t>
      </w:r>
    </w:p>
    <w:p>
      <w:pPr>
        <w:spacing w:after="0" w:line="560" w:lineRule="exact"/>
        <w:ind w:firstLine="600" w:firstLineChars="200"/>
        <w:rPr>
          <w:rFonts w:ascii="仿宋_GB2312" w:hAnsi="仿宋" w:eastAsia="仿宋_GB2312"/>
          <w:sz w:val="30"/>
          <w:szCs w:val="30"/>
          <w:highlight w:val="none"/>
        </w:rPr>
      </w:pPr>
      <w:r>
        <w:rPr>
          <w:rFonts w:hint="eastAsia" w:ascii="仿宋_GB2312" w:hAnsi="仿宋" w:eastAsia="仿宋_GB2312"/>
          <w:sz w:val="30"/>
          <w:szCs w:val="30"/>
          <w:highlight w:val="none"/>
        </w:rPr>
        <w:t>本行</w:t>
      </w:r>
      <w:r>
        <w:rPr>
          <w:rFonts w:ascii="仿宋_GB2312" w:hAnsi="仿宋" w:eastAsia="仿宋_GB2312"/>
          <w:sz w:val="30"/>
          <w:szCs w:val="30"/>
          <w:highlight w:val="none"/>
        </w:rPr>
        <w:t>本着有利于服务</w:t>
      </w:r>
      <w:r>
        <w:rPr>
          <w:rFonts w:hint="eastAsia" w:ascii="仿宋_GB2312" w:hAnsi="仿宋" w:eastAsia="仿宋_GB2312"/>
          <w:sz w:val="30"/>
          <w:szCs w:val="30"/>
          <w:highlight w:val="none"/>
        </w:rPr>
        <w:t>“</w:t>
      </w:r>
      <w:r>
        <w:rPr>
          <w:rFonts w:ascii="仿宋_GB2312" w:hAnsi="仿宋" w:eastAsia="仿宋_GB2312"/>
          <w:sz w:val="30"/>
          <w:szCs w:val="30"/>
          <w:highlight w:val="none"/>
        </w:rPr>
        <w:t>三农</w:t>
      </w:r>
      <w:r>
        <w:rPr>
          <w:rFonts w:hint="eastAsia" w:ascii="仿宋_GB2312" w:hAnsi="仿宋" w:eastAsia="仿宋_GB2312"/>
          <w:sz w:val="30"/>
          <w:szCs w:val="30"/>
          <w:highlight w:val="none"/>
        </w:rPr>
        <w:t>”发展</w:t>
      </w:r>
      <w:r>
        <w:rPr>
          <w:rFonts w:ascii="仿宋_GB2312" w:hAnsi="仿宋" w:eastAsia="仿宋_GB2312"/>
          <w:sz w:val="30"/>
          <w:szCs w:val="30"/>
          <w:highlight w:val="none"/>
        </w:rPr>
        <w:t>和经济效益原则</w:t>
      </w:r>
      <w:r>
        <w:rPr>
          <w:rFonts w:hint="eastAsia" w:ascii="仿宋_GB2312" w:hAnsi="仿宋" w:eastAsia="仿宋_GB2312"/>
          <w:sz w:val="30"/>
          <w:szCs w:val="30"/>
          <w:highlight w:val="none"/>
        </w:rPr>
        <w:t>，实行“一级法人、统一核算、分级管理、授权经营”的管理体制，除总行外，共设置分支机构4</w:t>
      </w:r>
      <w:r>
        <w:rPr>
          <w:rFonts w:hint="eastAsia" w:ascii="仿宋_GB2312" w:hAnsi="仿宋" w:eastAsia="仿宋_GB2312"/>
          <w:sz w:val="30"/>
          <w:szCs w:val="30"/>
          <w:highlight w:val="none"/>
          <w:lang w:val="en-US" w:eastAsia="zh-CN"/>
        </w:rPr>
        <w:t>3</w:t>
      </w:r>
      <w:r>
        <w:rPr>
          <w:rFonts w:hint="eastAsia" w:ascii="仿宋_GB2312" w:hAnsi="仿宋" w:eastAsia="仿宋_GB2312"/>
          <w:sz w:val="30"/>
          <w:szCs w:val="30"/>
          <w:highlight w:val="none"/>
        </w:rPr>
        <w:t>个，即：2</w:t>
      </w:r>
      <w:r>
        <w:rPr>
          <w:rFonts w:hint="eastAsia" w:ascii="仿宋_GB2312" w:hAnsi="仿宋" w:eastAsia="仿宋_GB2312"/>
          <w:sz w:val="30"/>
          <w:szCs w:val="30"/>
          <w:highlight w:val="none"/>
          <w:lang w:val="en-US" w:eastAsia="zh-CN"/>
        </w:rPr>
        <w:t>5</w:t>
      </w:r>
      <w:r>
        <w:rPr>
          <w:rFonts w:hint="eastAsia" w:ascii="仿宋_GB2312" w:hAnsi="仿宋" w:eastAsia="仿宋_GB2312"/>
          <w:sz w:val="30"/>
          <w:szCs w:val="30"/>
          <w:highlight w:val="none"/>
        </w:rPr>
        <w:t>个支行（由2</w:t>
      </w:r>
      <w:r>
        <w:rPr>
          <w:rFonts w:hint="eastAsia" w:ascii="仿宋_GB2312" w:hAnsi="仿宋" w:eastAsia="仿宋_GB2312"/>
          <w:sz w:val="30"/>
          <w:szCs w:val="30"/>
          <w:highlight w:val="none"/>
          <w:lang w:val="en-US" w:eastAsia="zh-CN"/>
        </w:rPr>
        <w:t>5</w:t>
      </w:r>
      <w:r>
        <w:rPr>
          <w:rFonts w:hint="eastAsia" w:ascii="仿宋_GB2312" w:hAnsi="仿宋" w:eastAsia="仿宋_GB2312"/>
          <w:sz w:val="30"/>
          <w:szCs w:val="30"/>
          <w:highlight w:val="none"/>
        </w:rPr>
        <w:t>个基层信用社改制组建而成）和</w:t>
      </w:r>
      <w:r>
        <w:rPr>
          <w:rFonts w:hint="eastAsia" w:ascii="仿宋_GB2312" w:hAnsi="仿宋" w:eastAsia="仿宋_GB2312"/>
          <w:sz w:val="30"/>
          <w:szCs w:val="30"/>
          <w:highlight w:val="none"/>
          <w:lang w:val="en-US" w:eastAsia="zh-CN"/>
        </w:rPr>
        <w:t>18</w:t>
      </w:r>
      <w:r>
        <w:rPr>
          <w:rFonts w:hint="eastAsia" w:ascii="仿宋_GB2312" w:hAnsi="仿宋" w:eastAsia="仿宋_GB2312"/>
          <w:sz w:val="30"/>
          <w:szCs w:val="30"/>
          <w:highlight w:val="none"/>
        </w:rPr>
        <w:t>个分理处（由</w:t>
      </w:r>
      <w:r>
        <w:rPr>
          <w:rFonts w:hint="eastAsia" w:ascii="仿宋_GB2312" w:hAnsi="仿宋" w:eastAsia="仿宋_GB2312"/>
          <w:sz w:val="30"/>
          <w:szCs w:val="30"/>
          <w:highlight w:val="none"/>
          <w:lang w:val="en-US" w:eastAsia="zh-CN"/>
        </w:rPr>
        <w:t>18</w:t>
      </w:r>
      <w:r>
        <w:rPr>
          <w:rFonts w:hint="eastAsia" w:ascii="仿宋_GB2312" w:hAnsi="仿宋" w:eastAsia="仿宋_GB2312"/>
          <w:sz w:val="30"/>
          <w:szCs w:val="30"/>
          <w:highlight w:val="none"/>
        </w:rPr>
        <w:t>个信用分社改制组建而成）。各分支机构在总行授权范围内自主开展业务，依法合规经营</w:t>
      </w:r>
      <w:r>
        <w:rPr>
          <w:rFonts w:ascii="仿宋_GB2312" w:hAnsi="仿宋" w:eastAsia="仿宋_GB2312"/>
          <w:sz w:val="30"/>
          <w:szCs w:val="30"/>
          <w:highlight w:val="none"/>
        </w:rPr>
        <w:t>。</w:t>
      </w:r>
    </w:p>
    <w:p>
      <w:pPr>
        <w:shd w:val="clear" w:color="auto" w:fill="FFFFFF"/>
        <w:adjustRightInd/>
        <w:snapToGrid/>
        <w:spacing w:after="0" w:line="560" w:lineRule="exact"/>
        <w:ind w:firstLine="562" w:firstLineChars="200"/>
        <w:rPr>
          <w:rFonts w:ascii="黑体" w:hAnsi="黑体" w:eastAsia="黑体" w:cs="宋体"/>
          <w:b/>
          <w:bCs/>
          <w:sz w:val="28"/>
          <w:szCs w:val="28"/>
          <w:highlight w:val="none"/>
        </w:rPr>
      </w:pPr>
      <w:r>
        <w:rPr>
          <w:rFonts w:hint="eastAsia" w:ascii="仿宋_GB2312" w:eastAsia="仿宋_GB2312" w:cs="Times New Roman"/>
          <w:b/>
          <w:sz w:val="28"/>
          <w:szCs w:val="28"/>
          <w:highlight w:val="none"/>
        </w:rPr>
        <w:t>表1-1 具体4</w:t>
      </w:r>
      <w:r>
        <w:rPr>
          <w:rFonts w:hint="eastAsia" w:ascii="仿宋_GB2312" w:eastAsia="仿宋_GB2312" w:cs="Times New Roman"/>
          <w:b/>
          <w:sz w:val="28"/>
          <w:szCs w:val="28"/>
          <w:highlight w:val="none"/>
          <w:lang w:val="en-US" w:eastAsia="zh-CN"/>
        </w:rPr>
        <w:t>3</w:t>
      </w:r>
      <w:r>
        <w:rPr>
          <w:rFonts w:hint="eastAsia" w:ascii="仿宋_GB2312" w:eastAsia="仿宋_GB2312" w:cs="Times New Roman"/>
          <w:b/>
          <w:sz w:val="28"/>
          <w:szCs w:val="28"/>
          <w:highlight w:val="none"/>
        </w:rPr>
        <w:t>家分支机构表：</w:t>
      </w:r>
    </w:p>
    <w:p>
      <w:pPr>
        <w:shd w:val="clear" w:color="auto" w:fill="FFFFFF"/>
        <w:adjustRightInd/>
        <w:snapToGrid/>
        <w:spacing w:after="0" w:line="560" w:lineRule="exact"/>
        <w:ind w:firstLine="562" w:firstLineChars="200"/>
        <w:rPr>
          <w:rFonts w:ascii="仿宋_GB2312" w:hAnsi="微软雅黑" w:eastAsia="仿宋_GB2312" w:cs="宋体"/>
          <w:b/>
          <w:sz w:val="28"/>
          <w:szCs w:val="28"/>
          <w:highlight w:val="none"/>
        </w:rPr>
      </w:pPr>
    </w:p>
    <w:tbl>
      <w:tblPr>
        <w:tblStyle w:val="5"/>
        <w:tblW w:w="8580" w:type="dxa"/>
        <w:tblInd w:w="93" w:type="dxa"/>
        <w:tblLayout w:type="fixed"/>
        <w:tblCellMar>
          <w:top w:w="0" w:type="dxa"/>
          <w:left w:w="108" w:type="dxa"/>
          <w:bottom w:w="0" w:type="dxa"/>
          <w:right w:w="108" w:type="dxa"/>
        </w:tblCellMar>
      </w:tblPr>
      <w:tblGrid>
        <w:gridCol w:w="520"/>
        <w:gridCol w:w="3200"/>
        <w:gridCol w:w="3400"/>
        <w:gridCol w:w="1460"/>
      </w:tblGrid>
      <w:tr>
        <w:tblPrEx>
          <w:tblCellMar>
            <w:top w:w="0" w:type="dxa"/>
            <w:left w:w="108" w:type="dxa"/>
            <w:bottom w:w="0" w:type="dxa"/>
            <w:right w:w="108" w:type="dxa"/>
          </w:tblCellMar>
        </w:tblPrEx>
        <w:trPr>
          <w:trHeight w:val="735"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华文中宋" w:hAnsi="华文中宋" w:eastAsia="华文中宋" w:cs="宋体"/>
                <w:b/>
                <w:bCs/>
                <w:sz w:val="24"/>
                <w:szCs w:val="24"/>
                <w:highlight w:val="none"/>
              </w:rPr>
            </w:pPr>
            <w:r>
              <w:rPr>
                <w:rFonts w:hint="eastAsia" w:ascii="华文中宋" w:hAnsi="华文中宋" w:eastAsia="华文中宋" w:cs="宋体"/>
                <w:b/>
                <w:bCs/>
                <w:sz w:val="24"/>
                <w:szCs w:val="24"/>
                <w:highlight w:val="none"/>
              </w:rPr>
              <w:t>序号</w:t>
            </w:r>
          </w:p>
        </w:tc>
        <w:tc>
          <w:tcPr>
            <w:tcW w:w="32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华文中宋" w:hAnsi="华文中宋" w:eastAsia="华文中宋" w:cs="宋体"/>
                <w:b/>
                <w:bCs/>
                <w:sz w:val="24"/>
                <w:szCs w:val="24"/>
                <w:highlight w:val="none"/>
              </w:rPr>
            </w:pPr>
            <w:r>
              <w:rPr>
                <w:rFonts w:hint="eastAsia" w:ascii="华文中宋" w:hAnsi="华文中宋" w:eastAsia="华文中宋" w:cs="宋体"/>
                <w:b/>
                <w:bCs/>
                <w:sz w:val="24"/>
                <w:szCs w:val="24"/>
                <w:highlight w:val="none"/>
              </w:rPr>
              <w:t>开业后机构全称</w:t>
            </w:r>
          </w:p>
        </w:tc>
        <w:tc>
          <w:tcPr>
            <w:tcW w:w="34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华文中宋" w:hAnsi="华文中宋" w:eastAsia="华文中宋" w:cs="宋体"/>
                <w:b/>
                <w:bCs/>
                <w:sz w:val="24"/>
                <w:szCs w:val="24"/>
                <w:highlight w:val="none"/>
              </w:rPr>
            </w:pPr>
            <w:r>
              <w:rPr>
                <w:rFonts w:hint="eastAsia" w:ascii="华文中宋" w:hAnsi="华文中宋" w:eastAsia="华文中宋" w:cs="宋体"/>
                <w:b/>
                <w:bCs/>
                <w:sz w:val="24"/>
                <w:szCs w:val="24"/>
                <w:highlight w:val="none"/>
              </w:rPr>
              <w:t>地址</w:t>
            </w:r>
          </w:p>
        </w:tc>
        <w:tc>
          <w:tcPr>
            <w:tcW w:w="14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华文中宋" w:hAnsi="华文中宋" w:eastAsia="华文中宋" w:cs="宋体"/>
                <w:b/>
                <w:bCs/>
                <w:sz w:val="24"/>
                <w:szCs w:val="24"/>
                <w:highlight w:val="none"/>
              </w:rPr>
            </w:pPr>
            <w:r>
              <w:rPr>
                <w:rFonts w:hint="eastAsia" w:ascii="华文中宋" w:hAnsi="华文中宋" w:eastAsia="华文中宋" w:cs="宋体"/>
                <w:b/>
                <w:bCs/>
                <w:sz w:val="24"/>
                <w:szCs w:val="24"/>
                <w:highlight w:val="none"/>
              </w:rPr>
              <w:t>机构电话</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河北玉田农村商业银行股份有限公司城关支行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河北省玉田县城内无终西街711号</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0315-6113116</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2</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河北玉田农村商业银行股份有限公司郭家屯支行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河北省玉田县郭家屯乡郭家屯村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0315-6114771</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3</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河北玉田农村商业银行股份有限公司马头山支行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河北省玉田县玉田镇松官屯南玉遵路东侧</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0315-6120434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4</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河北玉田农村商业银行股份有限公司八里铺支行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河北省玉田县玉田镇西查屯村南102国道北侧</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0315-6163674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5</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河北玉田农村商业银行股份有限公司林东支行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河北省玉田县玉田镇林东大街村东</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0315-6110914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6</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河北玉田农村商业银行股份有限公司亮甲店支行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河北省玉田县亮甲店镇102国道南侧</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0315-6444931</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7</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河北玉田农村商业银行股份有限公司林头屯支行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河北省玉田县林头屯乡柳庄子村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0315-6445019</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8</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河北玉田农村商业银行股份有限公司鸦鸿桥支行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河北省玉田县鸦鸿桥镇鸦鸿桥国际商贸城B09栋</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0315-6566264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9</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河北玉田农村商业银行股份有限公司孙各庄支行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河北省玉田县鸦鸿桥镇孙各庄村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0315-6566379</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10</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河北玉田农村商业银行股份有限公司杨家套支行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河北省玉田县杨家套乡小套村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0315-6466609</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11</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河北玉田农村商业银行股份有限公司窝洛沽支行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河北省玉田县窝洛沽镇沽一会村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0315-6422539</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12</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河北玉田农村商业银行股份有限公司潮洛窝支行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河北省玉田县潮洛窝乡潮洛窝村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0315-6423255</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13</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河北玉田农村商业银行股份有限公司石臼窝支行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河北省玉田县石臼窝镇芝麻窝村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0315-6522210</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14</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河北玉田农村商业银行股份有限公司虹桥支行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河北省玉田县虹桥镇北会村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0315-6500128</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15</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河北玉田农村商业银行股份有限公司陈家铺支行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河北省玉田县陈家铺乡陈家铺村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0315-6511213</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16</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河北玉田农村商业银行股份有限公司散水头支行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河北省玉田县散水头镇散水头村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0315-6566506</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17</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河北玉田农村商业银行股份有限公司珠树坞支行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河北省玉田县虹桥镇珠树坞二村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0315-6501099</w:t>
            </w:r>
          </w:p>
        </w:tc>
      </w:tr>
      <w:tr>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18</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河北玉田农村商业银行股份有限公司郭家桥支行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河北省玉田县郭家桥乡刘家桥村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0315-6579023</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19</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河北玉田农村商业银行股份有限公司林南仓支行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河北省玉田县林南仓镇一村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0315-6577212</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20</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河北玉田农村商业银行股份有限公司林西支行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河北省玉田县林西镇三村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0315-6577292</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21</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河北玉田农村商业银行股份有限公司杨家板桥支行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河北省玉田县杨家板桥镇于家桥村南</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0315-6599251</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22</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河北玉田农村商业银行股份有限公司大安镇支行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河北省玉田县大安镇辛庄子村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0315-6499062</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23</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河北玉田农村商业银行股份有限公司孤树支行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河北省玉田县孤树镇香椿园村102国道北侧</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0315-6488564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24</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河北玉田农村商业银行股份有限公司唐自头支行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河北省玉田县唐自头镇唐自头村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0315-6488458</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25</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河北玉田农村商业银行股份有限公司彩亭桥支行</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河北省玉田县彩亭桥镇彩河东村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0315-6488416</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sz w:val="18"/>
                <w:szCs w:val="18"/>
                <w:highlight w:val="none"/>
              </w:rPr>
            </w:pPr>
            <w:r>
              <w:rPr>
                <w:rFonts w:hint="eastAsia" w:ascii="仿宋_GB2312" w:hAnsi="宋体" w:eastAsia="仿宋_GB2312" w:cs="宋体"/>
                <w:sz w:val="18"/>
                <w:szCs w:val="18"/>
                <w:highlight w:val="none"/>
              </w:rPr>
              <w:t>26</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河北玉田农村商业银行股份有限公司南关分理处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河北省玉田县玉田镇东城路155号</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0315-6112887</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lang w:val="en-US" w:eastAsia="zh-CN"/>
              </w:rPr>
              <w:t>27</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河北玉田农村商业银行股份有限公司大李庄分理处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河北省玉田县郭家屯乡大李庄村外宝遵路北侧</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0315-6168214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lang w:val="en-US" w:eastAsia="zh-CN"/>
              </w:rPr>
              <w:t>28</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河北玉田农村商业银行股份有限公司韩家林分理处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河北省玉田县亮甲店镇韩家林村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0315-6444736</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lang w:val="en-US" w:eastAsia="zh-CN"/>
              </w:rPr>
              <w:t>29</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河北玉田农村商业银行股份有限公司河东分理处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河北省玉田县鸦鸿桥镇河东村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0315-6562938</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lang w:val="en-US" w:eastAsia="zh-CN"/>
              </w:rPr>
              <w:t>30</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河北玉田农村商业银行股份有限公司复兴街分理处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河北省玉田县鸦鸿桥镇银河大街78号</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0315-6569244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rPr>
              <w:t>3</w:t>
            </w:r>
            <w:r>
              <w:rPr>
                <w:rFonts w:hint="eastAsia" w:ascii="仿宋_GB2312" w:hAnsi="宋体" w:eastAsia="仿宋_GB2312" w:cs="宋体"/>
                <w:sz w:val="18"/>
                <w:szCs w:val="18"/>
                <w:highlight w:val="none"/>
                <w:lang w:val="en-US" w:eastAsia="zh-CN"/>
              </w:rPr>
              <w:t>1</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河北玉田农村商业银行股份有限公司大和平分理处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河北省玉田县鸦鸿桥镇新风村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0315-6566474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_GB2312" w:hAnsi="宋体" w:eastAsia="仿宋_GB2312" w:cs="宋体"/>
                <w:sz w:val="18"/>
                <w:szCs w:val="18"/>
                <w:highlight w:val="none"/>
                <w:lang w:eastAsia="zh-CN"/>
              </w:rPr>
            </w:pPr>
            <w:r>
              <w:rPr>
                <w:rFonts w:hint="eastAsia" w:ascii="仿宋_GB2312" w:hAnsi="宋体" w:eastAsia="仿宋_GB2312" w:cs="宋体"/>
                <w:sz w:val="18"/>
                <w:szCs w:val="18"/>
                <w:highlight w:val="none"/>
              </w:rPr>
              <w:t>3</w:t>
            </w:r>
            <w:r>
              <w:rPr>
                <w:rFonts w:hint="eastAsia" w:ascii="仿宋_GB2312" w:hAnsi="宋体" w:eastAsia="仿宋_GB2312" w:cs="宋体"/>
                <w:sz w:val="18"/>
                <w:szCs w:val="18"/>
                <w:highlight w:val="none"/>
                <w:lang w:val="en-US" w:eastAsia="zh-CN"/>
              </w:rPr>
              <w:t>2</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河北玉田农村商业银行股份有限公司邢庄分理处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河北省玉田县鸦鸿桥镇王中街村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0315-6566405</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_GB2312" w:hAnsi="宋体" w:eastAsia="仿宋_GB2312" w:cs="宋体"/>
                <w:sz w:val="18"/>
                <w:szCs w:val="18"/>
                <w:highlight w:val="none"/>
                <w:lang w:eastAsia="zh-CN"/>
              </w:rPr>
            </w:pPr>
            <w:r>
              <w:rPr>
                <w:rFonts w:hint="eastAsia" w:ascii="仿宋_GB2312" w:hAnsi="宋体" w:eastAsia="仿宋_GB2312" w:cs="宋体"/>
                <w:sz w:val="18"/>
                <w:szCs w:val="18"/>
                <w:highlight w:val="none"/>
              </w:rPr>
              <w:t>3</w:t>
            </w:r>
            <w:r>
              <w:rPr>
                <w:rFonts w:hint="eastAsia" w:ascii="仿宋_GB2312" w:hAnsi="宋体" w:eastAsia="仿宋_GB2312" w:cs="宋体"/>
                <w:sz w:val="18"/>
                <w:szCs w:val="18"/>
                <w:highlight w:val="none"/>
                <w:lang w:val="en-US" w:eastAsia="zh-CN"/>
              </w:rPr>
              <w:t>3</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河北玉田农村商业银行股份有限公司蛮子营分理处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河北省玉田县杨家套乡蛮子营村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0315-6466610</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_GB2312" w:hAnsi="宋体" w:eastAsia="仿宋_GB2312" w:cs="宋体"/>
                <w:sz w:val="18"/>
                <w:szCs w:val="18"/>
                <w:highlight w:val="none"/>
                <w:lang w:eastAsia="zh-CN"/>
              </w:rPr>
            </w:pPr>
            <w:r>
              <w:rPr>
                <w:rFonts w:hint="eastAsia" w:ascii="仿宋_GB2312" w:hAnsi="宋体" w:eastAsia="仿宋_GB2312" w:cs="宋体"/>
                <w:sz w:val="18"/>
                <w:szCs w:val="18"/>
                <w:highlight w:val="none"/>
              </w:rPr>
              <w:t>3</w:t>
            </w:r>
            <w:r>
              <w:rPr>
                <w:rFonts w:hint="eastAsia" w:ascii="仿宋_GB2312" w:hAnsi="宋体" w:eastAsia="仿宋_GB2312" w:cs="宋体"/>
                <w:sz w:val="18"/>
                <w:szCs w:val="18"/>
                <w:highlight w:val="none"/>
                <w:lang w:val="en-US" w:eastAsia="zh-CN"/>
              </w:rPr>
              <w:t>4</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河北玉田农村商业银行股份有限公司东高桥分理处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河北省玉田县杨家套乡东高桥新村二期4-5号商业门市楼</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0315-6469188</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_GB2312" w:hAnsi="宋体" w:eastAsia="仿宋_GB2312" w:cs="宋体"/>
                <w:sz w:val="18"/>
                <w:szCs w:val="18"/>
                <w:highlight w:val="none"/>
                <w:lang w:eastAsia="zh-CN"/>
              </w:rPr>
            </w:pPr>
            <w:r>
              <w:rPr>
                <w:rFonts w:hint="eastAsia" w:ascii="仿宋_GB2312" w:hAnsi="宋体" w:eastAsia="仿宋_GB2312" w:cs="宋体"/>
                <w:sz w:val="18"/>
                <w:szCs w:val="18"/>
                <w:highlight w:val="none"/>
              </w:rPr>
              <w:t>3</w:t>
            </w:r>
            <w:r>
              <w:rPr>
                <w:rFonts w:hint="eastAsia" w:ascii="仿宋_GB2312" w:hAnsi="宋体" w:eastAsia="仿宋_GB2312" w:cs="宋体"/>
                <w:sz w:val="18"/>
                <w:szCs w:val="18"/>
                <w:highlight w:val="none"/>
                <w:lang w:val="en-US" w:eastAsia="zh-CN"/>
              </w:rPr>
              <w:t>5</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河北玉田农村商业银行股份有限公司刘学庄分理处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河北省玉田县窝洛沽镇刘学庄村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0315-6422577</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_GB2312" w:hAnsi="宋体" w:eastAsia="仿宋_GB2312" w:cs="宋体"/>
                <w:sz w:val="18"/>
                <w:szCs w:val="18"/>
                <w:highlight w:val="none"/>
                <w:lang w:eastAsia="zh-CN"/>
              </w:rPr>
            </w:pPr>
            <w:r>
              <w:rPr>
                <w:rFonts w:hint="eastAsia" w:ascii="仿宋_GB2312" w:hAnsi="宋体" w:eastAsia="仿宋_GB2312" w:cs="宋体"/>
                <w:sz w:val="18"/>
                <w:szCs w:val="18"/>
                <w:highlight w:val="none"/>
              </w:rPr>
              <w:t>3</w:t>
            </w:r>
            <w:r>
              <w:rPr>
                <w:rFonts w:hint="eastAsia" w:ascii="仿宋_GB2312" w:hAnsi="宋体" w:eastAsia="仿宋_GB2312" w:cs="宋体"/>
                <w:sz w:val="18"/>
                <w:szCs w:val="18"/>
                <w:highlight w:val="none"/>
                <w:lang w:val="en-US" w:eastAsia="zh-CN"/>
              </w:rPr>
              <w:t>6</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河北玉田农村商业银行股份有限公司李庄子分理处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河北省玉田县窝洛沽镇李庄子村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0315-6422344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_GB2312" w:hAnsi="宋体" w:eastAsia="仿宋_GB2312" w:cs="宋体"/>
                <w:sz w:val="18"/>
                <w:szCs w:val="18"/>
                <w:highlight w:val="none"/>
                <w:lang w:eastAsia="zh-CN"/>
              </w:rPr>
            </w:pPr>
            <w:r>
              <w:rPr>
                <w:rFonts w:hint="eastAsia" w:ascii="仿宋_GB2312" w:hAnsi="宋体" w:eastAsia="仿宋_GB2312" w:cs="宋体"/>
                <w:sz w:val="18"/>
                <w:szCs w:val="18"/>
                <w:highlight w:val="none"/>
              </w:rPr>
              <w:t>3</w:t>
            </w:r>
            <w:r>
              <w:rPr>
                <w:rFonts w:hint="eastAsia" w:ascii="仿宋_GB2312" w:hAnsi="宋体" w:eastAsia="仿宋_GB2312" w:cs="宋体"/>
                <w:sz w:val="18"/>
                <w:szCs w:val="18"/>
                <w:highlight w:val="none"/>
                <w:lang w:val="en-US" w:eastAsia="zh-CN"/>
              </w:rPr>
              <w:t>7</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河北玉田农村商业银行股份有限公司孟大庄分理处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河北省玉田县石臼窝镇孟大庄村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0315-6107671</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_GB2312" w:hAnsi="宋体" w:eastAsia="仿宋_GB2312" w:cs="宋体"/>
                <w:sz w:val="18"/>
                <w:szCs w:val="18"/>
                <w:highlight w:val="none"/>
                <w:lang w:eastAsia="zh-CN"/>
              </w:rPr>
            </w:pPr>
            <w:r>
              <w:rPr>
                <w:rFonts w:hint="eastAsia" w:ascii="仿宋_GB2312" w:hAnsi="宋体" w:eastAsia="仿宋_GB2312" w:cs="宋体"/>
                <w:sz w:val="18"/>
                <w:szCs w:val="18"/>
                <w:highlight w:val="none"/>
              </w:rPr>
              <w:t>3</w:t>
            </w:r>
            <w:r>
              <w:rPr>
                <w:rFonts w:hint="eastAsia" w:ascii="仿宋_GB2312" w:hAnsi="宋体" w:eastAsia="仿宋_GB2312" w:cs="宋体"/>
                <w:sz w:val="18"/>
                <w:szCs w:val="18"/>
                <w:highlight w:val="none"/>
                <w:lang w:val="en-US" w:eastAsia="zh-CN"/>
              </w:rPr>
              <w:t>8</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河北玉田农村商业银行股份有限公司钱家沟分理处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河北省玉田县散水头镇钱家沟村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0315-6512234</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lang w:val="en-US" w:eastAsia="zh-CN"/>
              </w:rPr>
              <w:t>39</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河北玉田农村商业银行股份有限公司大丁庄分理处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河北省玉田县林西镇大丁庄村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0315-6387292</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lang w:val="en-US" w:eastAsia="zh-CN"/>
              </w:rPr>
              <w:t>40</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河北玉田农村商业银行股份有限公司镇中分理处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河北省玉田县大安镇吉家行村外螺大公路边</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0315-6499072</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lang w:val="en-US" w:eastAsia="zh-CN"/>
              </w:rPr>
              <w:t>41</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河北玉田农村商业银行股份有限公司渠河头分理处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河北省玉田县孤树镇渠河头村</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0315-6488502</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lang w:val="en-US" w:eastAsia="zh-CN"/>
              </w:rPr>
              <w:t>42</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河北玉田农村商业银行股份有限公司兴玉路分理处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河北省玉田县昌盛小区门市楼52号</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0315-6168768</w:t>
            </w:r>
          </w:p>
        </w:tc>
      </w:tr>
      <w:tr>
        <w:tblPrEx>
          <w:tblCellMar>
            <w:top w:w="0" w:type="dxa"/>
            <w:left w:w="108" w:type="dxa"/>
            <w:bottom w:w="0" w:type="dxa"/>
            <w:right w:w="108" w:type="dxa"/>
          </w:tblCellMar>
        </w:tblPrEx>
        <w:trPr>
          <w:trHeight w:val="499"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default" w:ascii="仿宋_GB2312" w:hAnsi="宋体" w:eastAsia="仿宋_GB2312" w:cs="宋体"/>
                <w:sz w:val="18"/>
                <w:szCs w:val="18"/>
                <w:highlight w:val="none"/>
                <w:lang w:val="en-US" w:eastAsia="zh-CN"/>
              </w:rPr>
            </w:pPr>
            <w:r>
              <w:rPr>
                <w:rFonts w:hint="eastAsia" w:ascii="仿宋_GB2312" w:hAnsi="宋体" w:eastAsia="仿宋_GB2312" w:cs="宋体"/>
                <w:sz w:val="18"/>
                <w:szCs w:val="18"/>
                <w:highlight w:val="none"/>
                <w:lang w:val="en-US" w:eastAsia="zh-CN"/>
              </w:rPr>
              <w:t>43</w:t>
            </w:r>
          </w:p>
        </w:tc>
        <w:tc>
          <w:tcPr>
            <w:tcW w:w="32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河北玉田农村商业银行股份有限公司城南分理处</w:t>
            </w:r>
          </w:p>
        </w:tc>
        <w:tc>
          <w:tcPr>
            <w:tcW w:w="340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河北省玉田县玉田镇真武庙村西嘉阳公寓103号</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仿宋" w:eastAsia="仿宋_GB2312" w:cs="宋体"/>
                <w:sz w:val="18"/>
                <w:szCs w:val="18"/>
                <w:highlight w:val="none"/>
              </w:rPr>
            </w:pPr>
            <w:r>
              <w:rPr>
                <w:rFonts w:hint="eastAsia" w:ascii="仿宋_GB2312" w:hAnsi="仿宋" w:eastAsia="仿宋_GB2312" w:cs="宋体"/>
                <w:sz w:val="18"/>
                <w:szCs w:val="18"/>
                <w:highlight w:val="none"/>
              </w:rPr>
              <w:t>0315-7765951</w:t>
            </w:r>
          </w:p>
        </w:tc>
      </w:tr>
    </w:tbl>
    <w:p>
      <w:pPr>
        <w:shd w:val="clear" w:color="auto" w:fill="FFFFFF"/>
        <w:adjustRightInd/>
        <w:snapToGrid/>
        <w:spacing w:before="360" w:after="360"/>
        <w:jc w:val="center"/>
        <w:outlineLvl w:val="0"/>
        <w:rPr>
          <w:rFonts w:ascii="黑体" w:hAnsi="黑体" w:eastAsia="黑体" w:cs="宋体"/>
          <w:b/>
          <w:bCs/>
          <w:color w:val="auto"/>
          <w:kern w:val="36"/>
          <w:sz w:val="36"/>
          <w:szCs w:val="36"/>
          <w:highlight w:val="none"/>
        </w:rPr>
      </w:pPr>
      <w:r>
        <w:rPr>
          <w:rFonts w:hint="eastAsia" w:ascii="黑体" w:hAnsi="黑体" w:eastAsia="黑体" w:cs="宋体"/>
          <w:b/>
          <w:bCs/>
          <w:color w:val="auto"/>
          <w:kern w:val="36"/>
          <w:sz w:val="36"/>
          <w:szCs w:val="36"/>
          <w:highlight w:val="none"/>
        </w:rPr>
        <w:t>第二部分  主要业务指标数据</w:t>
      </w:r>
    </w:p>
    <w:p>
      <w:pPr>
        <w:shd w:val="clear" w:color="auto" w:fill="FFFFFF"/>
        <w:adjustRightInd/>
        <w:snapToGrid/>
        <w:spacing w:after="0" w:line="560" w:lineRule="exact"/>
        <w:ind w:firstLine="600" w:firstLineChars="200"/>
        <w:rPr>
          <w:rFonts w:ascii="微软雅黑" w:hAnsi="微软雅黑" w:cs="宋体"/>
          <w:color w:val="auto"/>
          <w:sz w:val="18"/>
          <w:szCs w:val="18"/>
          <w:highlight w:val="none"/>
        </w:rPr>
      </w:pPr>
      <w:bookmarkStart w:id="14" w:name="_Toc194908726"/>
      <w:bookmarkEnd w:id="14"/>
      <w:bookmarkStart w:id="15" w:name="_Toc203486366"/>
      <w:bookmarkEnd w:id="15"/>
      <w:bookmarkStart w:id="16" w:name="_Toc219474560"/>
      <w:bookmarkEnd w:id="16"/>
      <w:bookmarkStart w:id="17" w:name="_Toc194886346"/>
      <w:bookmarkEnd w:id="17"/>
      <w:bookmarkStart w:id="18" w:name="_Toc194887785"/>
      <w:bookmarkEnd w:id="18"/>
      <w:bookmarkStart w:id="19" w:name="_Toc219552559"/>
      <w:bookmarkEnd w:id="19"/>
      <w:bookmarkStart w:id="20" w:name="_Toc219553399"/>
      <w:bookmarkEnd w:id="20"/>
      <w:r>
        <w:rPr>
          <w:rFonts w:hint="eastAsia" w:ascii="仿宋_GB2312" w:hAnsi="微软雅黑" w:eastAsia="仿宋_GB2312" w:cs="宋体"/>
          <w:color w:val="auto"/>
          <w:sz w:val="30"/>
          <w:szCs w:val="30"/>
          <w:highlight w:val="none"/>
        </w:rPr>
        <w:t>20</w:t>
      </w:r>
      <w:r>
        <w:rPr>
          <w:rFonts w:hint="eastAsia" w:ascii="仿宋_GB2312" w:hAnsi="微软雅黑" w:eastAsia="仿宋_GB2312" w:cs="宋体"/>
          <w:color w:val="auto"/>
          <w:sz w:val="30"/>
          <w:szCs w:val="30"/>
          <w:highlight w:val="none"/>
          <w:lang w:val="en-US" w:eastAsia="zh-CN"/>
        </w:rPr>
        <w:t>22</w:t>
      </w:r>
      <w:r>
        <w:rPr>
          <w:rFonts w:hint="eastAsia" w:ascii="仿宋_GB2312" w:hAnsi="微软雅黑" w:eastAsia="仿宋_GB2312" w:cs="宋体"/>
          <w:color w:val="auto"/>
          <w:sz w:val="30"/>
          <w:szCs w:val="30"/>
          <w:highlight w:val="none"/>
        </w:rPr>
        <w:t>年，本行在县域经济结构调整、外部经营环境复杂的情况下，狠抓经营管理、努力增加收入、改善经营方式、加大考核力度，董事会确定的经营指标基本完成。</w:t>
      </w:r>
    </w:p>
    <w:p>
      <w:pPr>
        <w:shd w:val="clear" w:color="auto" w:fill="FFFFFF"/>
        <w:adjustRightInd/>
        <w:snapToGrid/>
        <w:spacing w:before="240" w:after="240" w:line="560" w:lineRule="exact"/>
        <w:ind w:firstLine="602" w:firstLineChars="200"/>
        <w:outlineLvl w:val="1"/>
        <w:rPr>
          <w:rFonts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2.1  财务数据及指标</w:t>
      </w:r>
    </w:p>
    <w:p>
      <w:pPr>
        <w:shd w:val="clear" w:color="auto" w:fill="FFFFFF"/>
        <w:adjustRightInd/>
        <w:snapToGrid/>
        <w:spacing w:before="240" w:after="240" w:line="560" w:lineRule="exact"/>
        <w:ind w:firstLine="602" w:firstLineChars="200"/>
        <w:outlineLvl w:val="1"/>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2.1.1 报告期财务数据及财务指标 </w:t>
      </w:r>
    </w:p>
    <w:p>
      <w:pPr>
        <w:shd w:val="clear" w:color="auto" w:fill="FFFFFF"/>
        <w:adjustRightInd/>
        <w:snapToGrid/>
        <w:spacing w:before="100" w:beforeAutospacing="1" w:after="100" w:afterAutospacing="1"/>
        <w:ind w:firstLine="480"/>
        <w:rPr>
          <w:rFonts w:ascii="微软雅黑" w:hAnsi="微软雅黑" w:cs="宋体"/>
          <w:b/>
          <w:sz w:val="28"/>
          <w:szCs w:val="28"/>
        </w:rPr>
      </w:pPr>
      <w:r>
        <w:rPr>
          <w:rFonts w:hint="eastAsia" w:ascii="仿宋_GB2312" w:hAnsi="微软雅黑" w:eastAsia="仿宋_GB2312" w:cs="宋体"/>
          <w:b/>
          <w:sz w:val="28"/>
          <w:szCs w:val="28"/>
        </w:rPr>
        <w:t>表2-1             主要财务数据及财务指标           单位：万元、%</w:t>
      </w:r>
    </w:p>
    <w:tbl>
      <w:tblPr>
        <w:tblStyle w:val="5"/>
        <w:tblW w:w="9608" w:type="dxa"/>
        <w:jc w:val="center"/>
        <w:tblLayout w:type="fixed"/>
        <w:tblCellMar>
          <w:top w:w="0" w:type="dxa"/>
          <w:left w:w="108" w:type="dxa"/>
          <w:bottom w:w="0" w:type="dxa"/>
          <w:right w:w="108" w:type="dxa"/>
        </w:tblCellMar>
      </w:tblPr>
      <w:tblGrid>
        <w:gridCol w:w="2468"/>
        <w:gridCol w:w="1725"/>
        <w:gridCol w:w="1860"/>
        <w:gridCol w:w="1845"/>
        <w:gridCol w:w="1710"/>
      </w:tblGrid>
      <w:tr>
        <w:tblPrEx>
          <w:tblCellMar>
            <w:top w:w="0" w:type="dxa"/>
            <w:left w:w="108" w:type="dxa"/>
            <w:bottom w:w="0" w:type="dxa"/>
            <w:right w:w="108" w:type="dxa"/>
          </w:tblCellMar>
        </w:tblPrEx>
        <w:trPr>
          <w:trHeight w:val="402" w:hRule="atLeast"/>
          <w:jc w:val="center"/>
        </w:trPr>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sz w:val="28"/>
                <w:szCs w:val="28"/>
              </w:rPr>
            </w:pPr>
            <w:r>
              <w:rPr>
                <w:rFonts w:hint="eastAsia" w:ascii="仿宋_GB2312" w:hAnsi="宋体" w:eastAsia="仿宋_GB2312" w:cs="宋体"/>
                <w:sz w:val="28"/>
                <w:szCs w:val="28"/>
              </w:rPr>
              <w:t>　</w:t>
            </w:r>
          </w:p>
        </w:tc>
        <w:tc>
          <w:tcPr>
            <w:tcW w:w="172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2022年末</w:t>
            </w:r>
          </w:p>
        </w:tc>
        <w:tc>
          <w:tcPr>
            <w:tcW w:w="186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2021年末</w:t>
            </w:r>
          </w:p>
        </w:tc>
        <w:tc>
          <w:tcPr>
            <w:tcW w:w="184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增减情况</w:t>
            </w:r>
          </w:p>
        </w:tc>
        <w:tc>
          <w:tcPr>
            <w:tcW w:w="171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增减比率%</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b/>
                <w:bCs/>
                <w:sz w:val="28"/>
                <w:szCs w:val="28"/>
              </w:rPr>
            </w:pPr>
            <w:r>
              <w:rPr>
                <w:rFonts w:hint="eastAsia" w:ascii="仿宋_GB2312" w:hAnsi="宋体" w:eastAsia="仿宋_GB2312" w:cs="宋体"/>
                <w:b/>
                <w:bCs/>
                <w:sz w:val="28"/>
                <w:szCs w:val="28"/>
              </w:rPr>
              <w:t>一、财务状况</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710" w:type="dxa"/>
            <w:tcBorders>
              <w:top w:val="nil"/>
              <w:left w:val="nil"/>
              <w:bottom w:val="single" w:color="auto" w:sz="4" w:space="0"/>
              <w:right w:val="single" w:color="auto" w:sz="4" w:space="0"/>
            </w:tcBorders>
            <w:shd w:val="clear" w:color="auto" w:fill="auto"/>
          </w:tcPr>
          <w:p>
            <w:pPr>
              <w:adjustRightInd/>
              <w:snapToGrid/>
              <w:spacing w:after="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sz w:val="28"/>
                <w:szCs w:val="28"/>
              </w:rPr>
            </w:pPr>
            <w:r>
              <w:rPr>
                <w:rFonts w:hint="eastAsia" w:ascii="仿宋_GB2312" w:hAnsi="宋体" w:eastAsia="仿宋_GB2312" w:cs="宋体"/>
                <w:sz w:val="28"/>
                <w:szCs w:val="28"/>
              </w:rPr>
              <w:t>资产总额</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3122090.86</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2905752.61</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ascii="仿宋_GB2312" w:hAnsi="仿宋_GB2312" w:eastAsia="仿宋_GB2312" w:cs="仿宋_GB2312"/>
                <w:sz w:val="28"/>
                <w:szCs w:val="28"/>
              </w:rPr>
              <w:t>216338.25</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7.45</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其中：贷款余额</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1738799.30 </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1575448.14</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163,351.16 </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10.36</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sz w:val="28"/>
                <w:szCs w:val="28"/>
              </w:rPr>
            </w:pPr>
            <w:r>
              <w:rPr>
                <w:rFonts w:hint="eastAsia" w:ascii="仿宋_GB2312" w:hAnsi="宋体" w:eastAsia="仿宋_GB2312" w:cs="宋体"/>
                <w:sz w:val="28"/>
                <w:szCs w:val="28"/>
              </w:rPr>
              <w:t>负债总额</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ascii="仿宋_GB2312" w:hAnsi="仿宋_GB2312" w:eastAsia="仿宋_GB2312" w:cs="仿宋_GB2312"/>
                <w:sz w:val="28"/>
                <w:szCs w:val="28"/>
              </w:rPr>
              <w:t>2979772.26</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2756829.22</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222,943.04 </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8.09</w:t>
            </w:r>
          </w:p>
        </w:tc>
      </w:tr>
      <w:tr>
        <w:tblPrEx>
          <w:tblCellMar>
            <w:top w:w="0" w:type="dxa"/>
            <w:left w:w="108" w:type="dxa"/>
            <w:bottom w:w="0" w:type="dxa"/>
            <w:right w:w="108" w:type="dxa"/>
          </w:tblCellMar>
        </w:tblPrEx>
        <w:trPr>
          <w:trHeight w:val="417"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40" w:firstLineChars="100"/>
              <w:rPr>
                <w:rFonts w:ascii="仿宋_GB2312" w:hAnsi="宋体" w:eastAsia="仿宋_GB2312" w:cs="宋体"/>
                <w:sz w:val="24"/>
                <w:szCs w:val="24"/>
              </w:rPr>
            </w:pPr>
            <w:r>
              <w:rPr>
                <w:rFonts w:hint="eastAsia" w:ascii="仿宋_GB2312" w:hAnsi="宋体" w:eastAsia="仿宋_GB2312" w:cs="宋体"/>
                <w:sz w:val="24"/>
                <w:szCs w:val="24"/>
              </w:rPr>
              <w:t>其中：存款余额</w:t>
            </w:r>
          </w:p>
        </w:tc>
        <w:tc>
          <w:tcPr>
            <w:tcW w:w="1725"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ascii="仿宋_GB2312" w:hAnsi="仿宋_GB2312" w:eastAsia="仿宋_GB2312" w:cs="仿宋_GB2312"/>
                <w:sz w:val="28"/>
                <w:szCs w:val="28"/>
              </w:rPr>
              <w:t>2799729.16</w:t>
            </w:r>
          </w:p>
        </w:tc>
        <w:tc>
          <w:tcPr>
            <w:tcW w:w="1860" w:type="dxa"/>
            <w:tcBorders>
              <w:top w:val="nil"/>
              <w:left w:val="nil"/>
              <w:bottom w:val="single" w:color="000000" w:sz="4" w:space="0"/>
              <w:right w:val="single" w:color="000000"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2556553.25</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ascii="仿宋_GB2312" w:hAnsi="仿宋_GB2312" w:eastAsia="仿宋_GB2312" w:cs="仿宋_GB2312"/>
                <w:sz w:val="28"/>
                <w:szCs w:val="28"/>
              </w:rPr>
              <w:t>243175.91</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9.51</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sz w:val="28"/>
                <w:szCs w:val="28"/>
              </w:rPr>
            </w:pPr>
            <w:r>
              <w:rPr>
                <w:rFonts w:hint="eastAsia" w:ascii="仿宋_GB2312" w:hAnsi="宋体" w:eastAsia="仿宋_GB2312" w:cs="宋体"/>
                <w:sz w:val="28"/>
                <w:szCs w:val="28"/>
              </w:rPr>
              <w:t>所有者权益</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ascii="仿宋_GB2312" w:hAnsi="仿宋_GB2312" w:eastAsia="仿宋_GB2312" w:cs="仿宋_GB2312"/>
                <w:sz w:val="28"/>
                <w:szCs w:val="28"/>
              </w:rPr>
              <w:t>142318.6</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148923.39</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ascii="仿宋_GB2312" w:hAnsi="仿宋_GB2312" w:eastAsia="仿宋_GB2312" w:cs="仿宋_GB2312"/>
                <w:sz w:val="28"/>
                <w:szCs w:val="28"/>
              </w:rPr>
              <w:t>-6604.79</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-4.44</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b/>
                <w:bCs/>
                <w:sz w:val="28"/>
                <w:szCs w:val="28"/>
              </w:rPr>
            </w:pPr>
            <w:r>
              <w:rPr>
                <w:rFonts w:hint="eastAsia" w:ascii="仿宋_GB2312" w:hAnsi="宋体" w:eastAsia="仿宋_GB2312" w:cs="宋体"/>
                <w:b/>
                <w:bCs/>
                <w:sz w:val="28"/>
                <w:szCs w:val="28"/>
              </w:rPr>
              <w:t>二、经营成果</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right"/>
              <w:rPr>
                <w:rFonts w:ascii="仿宋_GB2312" w:hAnsi="仿宋_GB2312" w:eastAsia="仿宋_GB2312" w:cs="仿宋_GB2312"/>
                <w:sz w:val="28"/>
                <w:szCs w:val="28"/>
              </w:rPr>
            </w:pP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营业收入</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120489.90 </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123094.18</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-2,604.28 </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-2.12</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其中：投资收益</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ascii="仿宋_GB2312" w:hAnsi="仿宋_GB2312" w:eastAsia="仿宋_GB2312" w:cs="仿宋_GB2312"/>
                <w:sz w:val="28"/>
                <w:szCs w:val="28"/>
              </w:rPr>
              <w:t>32973.6</w:t>
            </w:r>
            <w:r>
              <w:rPr>
                <w:rFonts w:hint="eastAsia" w:ascii="仿宋_GB2312" w:hAnsi="仿宋_GB2312" w:eastAsia="仿宋_GB2312" w:cs="仿宋_GB2312"/>
                <w:sz w:val="28"/>
                <w:szCs w:val="28"/>
              </w:rPr>
              <w:t>5</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30198.51</w:t>
            </w:r>
          </w:p>
        </w:tc>
        <w:tc>
          <w:tcPr>
            <w:tcW w:w="1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2775.15</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9.19</w:t>
            </w:r>
          </w:p>
        </w:tc>
      </w:tr>
      <w:tr>
        <w:tblPrEx>
          <w:tblCellMar>
            <w:top w:w="0" w:type="dxa"/>
            <w:left w:w="108" w:type="dxa"/>
            <w:bottom w:w="0" w:type="dxa"/>
            <w:right w:w="108" w:type="dxa"/>
          </w:tblCellMar>
        </w:tblPrEx>
        <w:trPr>
          <w:trHeight w:val="565" w:hRule="atLeast"/>
          <w:jc w:val="center"/>
        </w:trPr>
        <w:tc>
          <w:tcPr>
            <w:tcW w:w="2468"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营业支出</w:t>
            </w:r>
          </w:p>
        </w:tc>
        <w:tc>
          <w:tcPr>
            <w:tcW w:w="1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110232.29</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112777.74</w:t>
            </w:r>
          </w:p>
        </w:tc>
        <w:tc>
          <w:tcPr>
            <w:tcW w:w="18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-2545.45</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-2.25</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营业利润</w:t>
            </w:r>
          </w:p>
        </w:tc>
        <w:tc>
          <w:tcPr>
            <w:tcW w:w="1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10257.62</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10316.44</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-58.82</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-0.57</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000000" w:fill="FFFFFF"/>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营业外收支净额</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456.38</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-837.27</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1293.65</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154.51</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利润总额</w:t>
            </w:r>
          </w:p>
        </w:tc>
        <w:tc>
          <w:tcPr>
            <w:tcW w:w="1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10713.99</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9479.17</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1234.82</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13.03</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净 利 润</w:t>
            </w:r>
          </w:p>
        </w:tc>
        <w:tc>
          <w:tcPr>
            <w:tcW w:w="17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8"/>
                <w:szCs w:val="28"/>
              </w:rPr>
            </w:pPr>
            <w:r>
              <w:rPr>
                <w:rFonts w:hint="eastAsia" w:ascii="仿宋_GB2312" w:eastAsia="仿宋_GB2312"/>
                <w:color w:val="000000"/>
                <w:sz w:val="28"/>
                <w:szCs w:val="28"/>
              </w:rPr>
              <w:t>8313.99</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7263.40</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1050.59</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14.46</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b/>
                <w:bCs/>
                <w:sz w:val="28"/>
                <w:szCs w:val="28"/>
              </w:rPr>
            </w:pPr>
            <w:r>
              <w:rPr>
                <w:rFonts w:hint="eastAsia" w:ascii="仿宋_GB2312" w:hAnsi="宋体" w:eastAsia="仿宋_GB2312" w:cs="宋体"/>
                <w:b/>
                <w:bCs/>
                <w:sz w:val="28"/>
                <w:szCs w:val="28"/>
              </w:rPr>
              <w:t>三、每股收益情况</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每股红利(元/股)</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0.11</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0.11</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b/>
                <w:bCs/>
                <w:sz w:val="28"/>
                <w:szCs w:val="28"/>
              </w:rPr>
            </w:pPr>
            <w:bookmarkStart w:id="21" w:name="RANGE!A18"/>
            <w:r>
              <w:rPr>
                <w:rFonts w:hint="eastAsia" w:ascii="仿宋_GB2312" w:hAnsi="宋体" w:eastAsia="仿宋_GB2312" w:cs="宋体"/>
                <w:b/>
                <w:bCs/>
                <w:sz w:val="28"/>
                <w:szCs w:val="28"/>
              </w:rPr>
              <w:t>四、主要财务指标</w:t>
            </w:r>
            <w:bookmarkEnd w:id="21"/>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资产利润率</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0.28</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0.26</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0.02</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7.69</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资本利润率</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5.71</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4.93</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0.78</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15.82</w:t>
            </w:r>
          </w:p>
        </w:tc>
      </w:tr>
      <w:tr>
        <w:tblPrEx>
          <w:tblCellMar>
            <w:top w:w="0" w:type="dxa"/>
            <w:left w:w="108" w:type="dxa"/>
            <w:bottom w:w="0" w:type="dxa"/>
            <w:right w:w="108" w:type="dxa"/>
          </w:tblCellMar>
        </w:tblPrEx>
        <w:trPr>
          <w:trHeight w:val="402" w:hRule="atLeast"/>
          <w:jc w:val="center"/>
        </w:trPr>
        <w:tc>
          <w:tcPr>
            <w:tcW w:w="2468"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sz w:val="28"/>
                <w:szCs w:val="28"/>
              </w:rPr>
            </w:pPr>
            <w:r>
              <w:rPr>
                <w:rFonts w:hint="eastAsia" w:ascii="仿宋_GB2312" w:hAnsi="宋体" w:eastAsia="仿宋_GB2312" w:cs="宋体"/>
                <w:sz w:val="28"/>
                <w:szCs w:val="28"/>
              </w:rPr>
              <w:t>成本收入比</w:t>
            </w:r>
          </w:p>
        </w:tc>
        <w:tc>
          <w:tcPr>
            <w:tcW w:w="17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44.56</w:t>
            </w:r>
          </w:p>
        </w:tc>
        <w:tc>
          <w:tcPr>
            <w:tcW w:w="18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33.87</w:t>
            </w:r>
          </w:p>
        </w:tc>
        <w:tc>
          <w:tcPr>
            <w:tcW w:w="18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10.69</w:t>
            </w:r>
          </w:p>
        </w:tc>
        <w:tc>
          <w:tcPr>
            <w:tcW w:w="17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31.56</w:t>
            </w:r>
          </w:p>
        </w:tc>
      </w:tr>
    </w:tbl>
    <w:p>
      <w:pPr>
        <w:spacing w:afterLines="50" w:line="560" w:lineRule="exact"/>
        <w:rPr>
          <w:rFonts w:ascii="楷体" w:hAnsi="楷体" w:eastAsia="楷体" w:cs="宋体"/>
          <w:b/>
          <w:bCs/>
          <w:sz w:val="30"/>
          <w:szCs w:val="30"/>
        </w:rPr>
      </w:pPr>
      <w:bookmarkStart w:id="22" w:name="_Toc219552560"/>
      <w:bookmarkEnd w:id="22"/>
      <w:bookmarkStart w:id="23" w:name="_Toc194908727"/>
      <w:bookmarkEnd w:id="23"/>
      <w:bookmarkStart w:id="24" w:name="_Toc194886347"/>
      <w:bookmarkEnd w:id="24"/>
      <w:bookmarkStart w:id="25" w:name="_Toc219474566"/>
      <w:bookmarkEnd w:id="25"/>
      <w:bookmarkStart w:id="26" w:name="_Toc203486373"/>
      <w:bookmarkEnd w:id="26"/>
      <w:bookmarkStart w:id="27" w:name="_Toc219553400"/>
      <w:bookmarkEnd w:id="27"/>
      <w:bookmarkStart w:id="28" w:name="_Toc203486367"/>
      <w:bookmarkEnd w:id="28"/>
      <w:bookmarkStart w:id="29" w:name="_Toc219552565"/>
      <w:bookmarkEnd w:id="29"/>
      <w:bookmarkStart w:id="30" w:name="_Toc219474561"/>
      <w:bookmarkEnd w:id="30"/>
      <w:bookmarkStart w:id="31" w:name="_Toc219553405"/>
      <w:bookmarkEnd w:id="31"/>
      <w:bookmarkStart w:id="32" w:name="_Toc194887786"/>
      <w:bookmarkEnd w:id="32"/>
    </w:p>
    <w:p>
      <w:pPr>
        <w:shd w:val="clear"/>
        <w:spacing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2.1.2 报告期资本构成及变化 </w:t>
      </w:r>
    </w:p>
    <w:p>
      <w:pPr>
        <w:shd w:val="clear" w:color="auto"/>
        <w:adjustRightInd/>
        <w:snapToGrid/>
        <w:spacing w:before="100" w:beforeAutospacing="1" w:after="100" w:afterAutospacing="1" w:line="600" w:lineRule="atLeast"/>
        <w:ind w:firstLine="562" w:firstLineChars="200"/>
        <w:rPr>
          <w:rFonts w:ascii="微软雅黑" w:hAnsi="微软雅黑" w:cs="宋体"/>
          <w:b/>
          <w:color w:val="auto"/>
          <w:sz w:val="28"/>
          <w:szCs w:val="28"/>
          <w:highlight w:val="none"/>
        </w:rPr>
      </w:pPr>
      <w:r>
        <w:rPr>
          <w:rFonts w:hint="eastAsia" w:ascii="仿宋_GB2312" w:hAnsi="微软雅黑" w:eastAsia="仿宋_GB2312" w:cs="宋体"/>
          <w:b/>
          <w:color w:val="auto"/>
          <w:sz w:val="28"/>
          <w:szCs w:val="28"/>
          <w:highlight w:val="none"/>
        </w:rPr>
        <w:t>表2-2             资本构成及变化表           单位：万元、％</w:t>
      </w:r>
    </w:p>
    <w:tbl>
      <w:tblPr>
        <w:tblStyle w:val="5"/>
        <w:tblW w:w="8500" w:type="dxa"/>
        <w:tblInd w:w="94" w:type="dxa"/>
        <w:tblLayout w:type="fixed"/>
        <w:tblCellMar>
          <w:top w:w="0" w:type="dxa"/>
          <w:left w:w="108" w:type="dxa"/>
          <w:bottom w:w="0" w:type="dxa"/>
          <w:right w:w="108" w:type="dxa"/>
        </w:tblCellMar>
      </w:tblPr>
      <w:tblGrid>
        <w:gridCol w:w="2460"/>
        <w:gridCol w:w="1900"/>
        <w:gridCol w:w="1840"/>
        <w:gridCol w:w="2300"/>
      </w:tblGrid>
      <w:tr>
        <w:tblPrEx>
          <w:tblCellMar>
            <w:top w:w="0" w:type="dxa"/>
            <w:left w:w="108" w:type="dxa"/>
            <w:bottom w:w="0" w:type="dxa"/>
            <w:right w:w="108" w:type="dxa"/>
          </w:tblCellMar>
        </w:tblPrEx>
        <w:trPr>
          <w:trHeight w:val="90" w:hRule="atLeast"/>
        </w:trPr>
        <w:tc>
          <w:tcPr>
            <w:tcW w:w="2460"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snapToGrid/>
              <w:spacing w:after="0"/>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　</w:t>
            </w:r>
          </w:p>
        </w:tc>
        <w:tc>
          <w:tcPr>
            <w:tcW w:w="19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u w:val="none"/>
                <w:lang w:val="en-US" w:eastAsia="zh-CN" w:bidi="ar"/>
              </w:rPr>
              <w:t>2022年末</w:t>
            </w:r>
          </w:p>
        </w:tc>
        <w:tc>
          <w:tcPr>
            <w:tcW w:w="18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u w:val="none"/>
                <w:lang w:val="en-US" w:eastAsia="zh-CN" w:bidi="ar"/>
              </w:rPr>
              <w:t>2021年末</w:t>
            </w:r>
          </w:p>
        </w:tc>
        <w:tc>
          <w:tcPr>
            <w:tcW w:w="23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u w:val="none"/>
                <w:lang w:val="en-US" w:eastAsia="zh-CN" w:bidi="ar"/>
              </w:rPr>
              <w:t>增减</w:t>
            </w:r>
          </w:p>
        </w:tc>
      </w:tr>
      <w:tr>
        <w:tblPrEx>
          <w:tblCellMar>
            <w:top w:w="0" w:type="dxa"/>
            <w:left w:w="108" w:type="dxa"/>
            <w:bottom w:w="0" w:type="dxa"/>
            <w:right w:w="108" w:type="dxa"/>
          </w:tblCellMar>
        </w:tblPrEx>
        <w:trPr>
          <w:trHeight w:val="375"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1.核心一级资本</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142318.6</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148923.39</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-6604.79</w:t>
            </w:r>
          </w:p>
        </w:tc>
      </w:tr>
      <w:tr>
        <w:tblPrEx>
          <w:tblCellMar>
            <w:top w:w="0" w:type="dxa"/>
            <w:left w:w="108" w:type="dxa"/>
            <w:bottom w:w="0" w:type="dxa"/>
            <w:right w:w="108" w:type="dxa"/>
          </w:tblCellMar>
        </w:tblPrEx>
        <w:trPr>
          <w:trHeight w:val="375"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1.1实收资本</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63428.21</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44528.21</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18900</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1.2资本公积可计入部分</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1200</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1200</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0</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1.3盈余公积及一般风险准备</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60418.59</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85587.19</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-25168.6</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1.4未分配利润可计入部分</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15214.61</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14074.2</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1140.41</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hint="default" w:ascii="仿宋_GB2312" w:hAnsi="宋体" w:eastAsia="仿宋_GB2312" w:cs="宋体"/>
                <w:color w:val="auto"/>
                <w:sz w:val="28"/>
                <w:szCs w:val="28"/>
                <w:highlight w:val="yellow"/>
                <w:lang w:val="en-US" w:eastAsia="zh-CN"/>
              </w:rPr>
            </w:pPr>
            <w:r>
              <w:rPr>
                <w:rFonts w:hint="eastAsia" w:ascii="仿宋_GB2312" w:hAnsi="宋体" w:eastAsia="仿宋_GB2312" w:cs="宋体"/>
                <w:color w:val="auto"/>
                <w:sz w:val="28"/>
                <w:szCs w:val="28"/>
                <w:highlight w:val="yellow"/>
                <w:lang w:val="en-US" w:eastAsia="zh-CN"/>
              </w:rPr>
              <w:t>1.5其他</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2057.19</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3533.79</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-1476.6</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2.核心一级资本扣减项</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10.65</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12.45</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-1.8</w:t>
            </w:r>
          </w:p>
        </w:tc>
      </w:tr>
      <w:tr>
        <w:tblPrEx>
          <w:tblCellMar>
            <w:top w:w="0" w:type="dxa"/>
            <w:left w:w="108" w:type="dxa"/>
            <w:bottom w:w="0" w:type="dxa"/>
            <w:right w:w="108" w:type="dxa"/>
          </w:tblCellMar>
        </w:tblPrEx>
        <w:trPr>
          <w:trHeight w:val="375"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3.一级资本净额</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142307.95</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148910.94</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-6602.99</w:t>
            </w:r>
          </w:p>
        </w:tc>
      </w:tr>
      <w:tr>
        <w:tblPrEx>
          <w:tblCellMar>
            <w:top w:w="0" w:type="dxa"/>
            <w:left w:w="108" w:type="dxa"/>
            <w:bottom w:w="0" w:type="dxa"/>
            <w:right w:w="108" w:type="dxa"/>
          </w:tblCellMar>
        </w:tblPrEx>
        <w:trPr>
          <w:trHeight w:val="375"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4.二级资本</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17458.51</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17239.04</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219.47</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4.1超额贷款损失准备</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17458.51</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17239.04</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219.47</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5.二级资本扣减项</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0</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0</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0</w:t>
            </w:r>
          </w:p>
        </w:tc>
      </w:tr>
      <w:tr>
        <w:tblPrEx>
          <w:tblCellMar>
            <w:top w:w="0" w:type="dxa"/>
            <w:left w:w="108" w:type="dxa"/>
            <w:bottom w:w="0" w:type="dxa"/>
            <w:right w:w="108" w:type="dxa"/>
          </w:tblCellMar>
        </w:tblPrEx>
        <w:trPr>
          <w:trHeight w:val="375"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6.资本净额</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159766.46</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148910.94</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10855.52</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7. 风险加权资产总额</w:t>
            </w:r>
          </w:p>
        </w:tc>
        <w:tc>
          <w:tcPr>
            <w:tcW w:w="19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highlight w:val="yellow"/>
                <w:u w:val="none"/>
                <w:lang w:val="en-US" w:eastAsia="zh-CN" w:bidi="ar-SA"/>
              </w:rPr>
            </w:pPr>
            <w:r>
              <w:rPr>
                <w:rFonts w:hint="eastAsia" w:ascii="仿宋_GB2312" w:hAnsi="宋体" w:eastAsia="仿宋_GB2312" w:cs="仿宋_GB2312"/>
                <w:i w:val="0"/>
                <w:color w:val="000000"/>
                <w:kern w:val="0"/>
                <w:sz w:val="28"/>
                <w:szCs w:val="28"/>
                <w:highlight w:val="yellow"/>
                <w:u w:val="none"/>
                <w:lang w:val="en-US" w:eastAsia="zh-CN" w:bidi="ar"/>
              </w:rPr>
              <w:t>1414138.99</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1489179.12</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-75040.13</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其中： 表内风险加权资产</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1411237.68</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1389560.52</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21677.16</w:t>
            </w:r>
          </w:p>
        </w:tc>
      </w:tr>
      <w:tr>
        <w:tblPrEx>
          <w:tblCellMar>
            <w:top w:w="0" w:type="dxa"/>
            <w:left w:w="108" w:type="dxa"/>
            <w:bottom w:w="0" w:type="dxa"/>
            <w:right w:w="108" w:type="dxa"/>
          </w:tblCellMar>
        </w:tblPrEx>
        <w:trPr>
          <w:trHeight w:val="1125"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shd w:val="clea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表外风险加权资产</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2901.31</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6801.72</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-3900.41</w:t>
            </w:r>
          </w:p>
        </w:tc>
      </w:tr>
      <w:tr>
        <w:tblPrEx>
          <w:tblCellMar>
            <w:top w:w="0" w:type="dxa"/>
            <w:left w:w="108" w:type="dxa"/>
            <w:bottom w:w="0" w:type="dxa"/>
            <w:right w:w="108" w:type="dxa"/>
          </w:tblCellMar>
        </w:tblPrEx>
        <w:trPr>
          <w:trHeight w:val="1125"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操作风险加权资产</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91499.25</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92816.88</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-1317.63</w:t>
            </w:r>
          </w:p>
        </w:tc>
      </w:tr>
      <w:tr>
        <w:tblPrEx>
          <w:tblCellMar>
            <w:top w:w="0" w:type="dxa"/>
            <w:left w:w="108" w:type="dxa"/>
            <w:bottom w:w="0" w:type="dxa"/>
            <w:right w:w="108" w:type="dxa"/>
          </w:tblCellMar>
        </w:tblPrEx>
        <w:trPr>
          <w:trHeight w:val="750"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8.核心一级资本充足率％</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9.45</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10</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-0.55</w:t>
            </w:r>
          </w:p>
        </w:tc>
      </w:tr>
      <w:tr>
        <w:tblPrEx>
          <w:tblCellMar>
            <w:top w:w="0" w:type="dxa"/>
            <w:left w:w="108" w:type="dxa"/>
            <w:bottom w:w="0" w:type="dxa"/>
            <w:right w:w="108" w:type="dxa"/>
          </w:tblCellMar>
        </w:tblPrEx>
        <w:trPr>
          <w:trHeight w:val="375" w:hRule="atLeast"/>
        </w:trPr>
        <w:tc>
          <w:tcPr>
            <w:tcW w:w="24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ind w:firstLine="280" w:firstLineChars="100"/>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9.资本充足率％</w:t>
            </w:r>
          </w:p>
        </w:tc>
        <w:tc>
          <w:tcPr>
            <w:tcW w:w="19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_GB2312" w:eastAsia="仿宋_GB2312" w:cs="仿宋_GB2312"/>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10.61</w:t>
            </w:r>
          </w:p>
        </w:tc>
        <w:tc>
          <w:tcPr>
            <w:tcW w:w="184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11.16</w:t>
            </w:r>
          </w:p>
        </w:tc>
        <w:tc>
          <w:tcPr>
            <w:tcW w:w="23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-0.55</w:t>
            </w:r>
          </w:p>
        </w:tc>
      </w:tr>
    </w:tbl>
    <w:p>
      <w:pPr>
        <w:shd w:val="clear" w:color="auto" w:fill="FFFFFF"/>
        <w:adjustRightInd/>
        <w:snapToGrid/>
        <w:spacing w:before="100" w:beforeAutospacing="1" w:after="100" w:afterAutospacing="1"/>
        <w:ind w:firstLine="602" w:firstLineChars="200"/>
        <w:rPr>
          <w:rFonts w:ascii="仿宋_GB2312" w:hAnsi="微软雅黑" w:eastAsia="仿宋_GB2312" w:cs="宋体"/>
          <w:b/>
          <w:color w:val="auto"/>
          <w:sz w:val="30"/>
          <w:szCs w:val="30"/>
          <w:highlight w:val="none"/>
        </w:rPr>
      </w:pPr>
      <w:r>
        <w:rPr>
          <w:rFonts w:hint="eastAsia" w:ascii="楷体" w:hAnsi="楷体" w:eastAsia="楷体" w:cs="宋体"/>
          <w:b/>
          <w:bCs/>
          <w:color w:val="auto"/>
          <w:sz w:val="30"/>
          <w:szCs w:val="30"/>
          <w:highlight w:val="none"/>
        </w:rPr>
        <w:t>2.1.3 财务情况说明</w:t>
      </w:r>
    </w:p>
    <w:p>
      <w:pPr>
        <w:shd w:val="clear" w:color="auto" w:fill="FFFFFF"/>
        <w:adjustRightInd/>
        <w:snapToGrid/>
        <w:spacing w:after="0" w:line="560" w:lineRule="exact"/>
        <w:ind w:firstLine="601"/>
        <w:rPr>
          <w:rFonts w:ascii="仿宋_GB2312" w:hAnsi="微软雅黑" w:eastAsia="仿宋_GB2312" w:cs="宋体"/>
          <w:b/>
          <w:color w:val="auto"/>
          <w:sz w:val="30"/>
          <w:szCs w:val="30"/>
          <w:highlight w:val="none"/>
        </w:rPr>
      </w:pPr>
      <w:r>
        <w:rPr>
          <w:rFonts w:hint="eastAsia" w:ascii="仿宋_GB2312" w:hAnsi="微软雅黑" w:eastAsia="仿宋_GB2312" w:cs="宋体"/>
          <w:b/>
          <w:color w:val="auto"/>
          <w:sz w:val="30"/>
          <w:szCs w:val="30"/>
          <w:highlight w:val="none"/>
        </w:rPr>
        <w:t>1．总体情况</w:t>
      </w:r>
    </w:p>
    <w:p>
      <w:pPr>
        <w:shd w:val="clear" w:color="auto" w:fill="FFFFFF"/>
        <w:adjustRightInd/>
        <w:snapToGrid/>
        <w:spacing w:after="0" w:line="560" w:lineRule="exact"/>
        <w:ind w:firstLine="601"/>
        <w:rPr>
          <w:rFonts w:ascii="仿宋_GB2312" w:hAnsi="微软雅黑" w:eastAsia="仿宋_GB2312" w:cs="宋体"/>
          <w:b/>
          <w:sz w:val="18"/>
          <w:szCs w:val="18"/>
        </w:rPr>
      </w:pPr>
      <w:r>
        <w:rPr>
          <w:rFonts w:hint="eastAsia" w:ascii="仿宋_GB2312" w:hAnsi="微软雅黑" w:eastAsia="仿宋_GB2312" w:cs="宋体"/>
          <w:color w:val="auto"/>
          <w:sz w:val="30"/>
          <w:szCs w:val="30"/>
          <w:highlight w:val="none"/>
        </w:rPr>
        <w:t>20</w:t>
      </w:r>
      <w:r>
        <w:rPr>
          <w:rFonts w:hint="eastAsia" w:ascii="仿宋_GB2312" w:hAnsi="微软雅黑" w:eastAsia="仿宋_GB2312" w:cs="宋体"/>
          <w:color w:val="auto"/>
          <w:sz w:val="30"/>
          <w:szCs w:val="30"/>
          <w:highlight w:val="none"/>
          <w:lang w:val="en-US" w:eastAsia="zh-CN"/>
        </w:rPr>
        <w:t>22</w:t>
      </w:r>
      <w:r>
        <w:rPr>
          <w:rFonts w:hint="eastAsia" w:ascii="仿宋_GB2312" w:hAnsi="微软雅黑" w:eastAsia="仿宋_GB2312" w:cs="宋体"/>
          <w:color w:val="auto"/>
          <w:sz w:val="30"/>
          <w:szCs w:val="30"/>
          <w:highlight w:val="none"/>
        </w:rPr>
        <w:t>年，本行积极落实省联社及唐山审计中心的工作部署，积极应对</w:t>
      </w:r>
      <w:r>
        <w:rPr>
          <w:rFonts w:hint="eastAsia" w:ascii="仿宋_GB2312" w:hAnsi="微软雅黑" w:eastAsia="仿宋_GB2312" w:cs="宋体"/>
          <w:color w:val="auto"/>
          <w:sz w:val="30"/>
          <w:szCs w:val="30"/>
          <w:highlight w:val="none"/>
          <w:lang w:val="en-US" w:eastAsia="zh-CN"/>
        </w:rPr>
        <w:t>新冠疫情影响和</w:t>
      </w:r>
      <w:r>
        <w:rPr>
          <w:rFonts w:hint="eastAsia" w:ascii="仿宋_GB2312" w:hAnsi="微软雅黑" w:eastAsia="仿宋_GB2312" w:cs="宋体"/>
          <w:color w:val="auto"/>
          <w:sz w:val="30"/>
          <w:szCs w:val="30"/>
          <w:highlight w:val="none"/>
        </w:rPr>
        <w:t>复杂的经济金融形势，坚持以提高发展质量和效益为中心，坚守风险底线，不断扩大业务和服务创新，不断强化风险管控，强化经营管理，扎实推进各项工作稳步开展。通过严把信贷资产质量，多渠道运用富余资金，增加非信贷资金收益，厉行节约成本，盈利水平稳步提高。</w:t>
      </w:r>
      <w:r>
        <w:rPr>
          <w:rFonts w:hint="eastAsia" w:ascii="仿宋_GB2312" w:hAnsi="微软雅黑" w:eastAsia="仿宋_GB2312" w:cs="宋体"/>
          <w:sz w:val="30"/>
          <w:szCs w:val="30"/>
          <w:highlight w:val="yellow"/>
        </w:rPr>
        <w:t>2022年全行实现各项收入</w:t>
      </w:r>
      <w:r>
        <w:rPr>
          <w:rFonts w:hint="eastAsia" w:ascii="仿宋_GB2312" w:hAnsi="仿宋_GB2312" w:eastAsia="仿宋_GB2312" w:cs="仿宋_GB2312"/>
          <w:sz w:val="28"/>
          <w:szCs w:val="28"/>
          <w:highlight w:val="yellow"/>
        </w:rPr>
        <w:t>120489.90</w:t>
      </w:r>
      <w:r>
        <w:rPr>
          <w:rFonts w:hint="eastAsia" w:ascii="仿宋_GB2312" w:hAnsi="微软雅黑" w:eastAsia="仿宋_GB2312" w:cs="宋体"/>
          <w:sz w:val="30"/>
          <w:szCs w:val="30"/>
          <w:highlight w:val="yellow"/>
        </w:rPr>
        <w:t>万元，人均收入266.18万元，同比下降13.91 万元，下降率-4.97%；实现税后利润</w:t>
      </w:r>
      <w:r>
        <w:rPr>
          <w:rFonts w:hint="eastAsia" w:ascii="仿宋_GB2312" w:eastAsia="仿宋_GB2312"/>
          <w:color w:val="000000"/>
          <w:sz w:val="28"/>
          <w:szCs w:val="28"/>
          <w:highlight w:val="yellow"/>
        </w:rPr>
        <w:t>8313.99</w:t>
      </w:r>
      <w:r>
        <w:rPr>
          <w:rFonts w:hint="eastAsia" w:ascii="仿宋_GB2312" w:hAnsi="微软雅黑" w:eastAsia="仿宋_GB2312" w:cs="宋体"/>
          <w:sz w:val="30"/>
          <w:szCs w:val="30"/>
          <w:highlight w:val="yellow"/>
        </w:rPr>
        <w:t>万元，人均利润18.37万元。</w:t>
      </w:r>
    </w:p>
    <w:p>
      <w:pPr>
        <w:shd w:val="clear" w:color="auto" w:fill="FFFFFF"/>
        <w:adjustRightInd/>
        <w:snapToGrid/>
        <w:spacing w:after="0" w:line="560" w:lineRule="exact"/>
        <w:ind w:firstLine="601"/>
        <w:rPr>
          <w:rFonts w:ascii="仿宋_GB2312" w:hAnsi="微软雅黑" w:eastAsia="仿宋_GB2312" w:cs="宋体"/>
          <w:b/>
          <w:sz w:val="30"/>
          <w:szCs w:val="30"/>
        </w:rPr>
      </w:pPr>
      <w:r>
        <w:rPr>
          <w:rFonts w:hint="eastAsia" w:ascii="仿宋_GB2312" w:hAnsi="微软雅黑" w:eastAsia="仿宋_GB2312" w:cs="宋体"/>
          <w:b/>
          <w:sz w:val="30"/>
          <w:szCs w:val="30"/>
          <w:highlight w:val="yellow"/>
        </w:rPr>
        <w:t>2．利润实现情况</w:t>
      </w:r>
    </w:p>
    <w:p>
      <w:pPr>
        <w:shd w:val="clear" w:color="auto" w:fill="FFFFFF"/>
        <w:adjustRightInd/>
        <w:snapToGrid/>
        <w:spacing w:after="0" w:line="560" w:lineRule="exact"/>
        <w:ind w:firstLine="601"/>
        <w:rPr>
          <w:rFonts w:ascii="仿宋_GB2312" w:hAnsi="微软雅黑" w:eastAsia="仿宋_GB2312" w:cs="宋体"/>
          <w:b/>
          <w:sz w:val="30"/>
          <w:szCs w:val="30"/>
        </w:rPr>
      </w:pPr>
      <w:r>
        <w:rPr>
          <w:rFonts w:hint="eastAsia" w:ascii="仿宋_GB2312" w:eastAsia="仿宋_GB2312"/>
          <w:sz w:val="30"/>
          <w:szCs w:val="30"/>
          <w:highlight w:val="yellow"/>
        </w:rPr>
        <w:t>2022年，经会计师事务所审计确认，实现利润总额</w:t>
      </w:r>
      <w:r>
        <w:rPr>
          <w:rFonts w:hint="eastAsia" w:ascii="仿宋_GB2312" w:eastAsia="仿宋_GB2312"/>
          <w:color w:val="000000"/>
          <w:sz w:val="28"/>
          <w:szCs w:val="28"/>
          <w:highlight w:val="yellow"/>
        </w:rPr>
        <w:t>10713.99</w:t>
      </w:r>
      <w:r>
        <w:rPr>
          <w:rFonts w:hint="eastAsia" w:ascii="仿宋_GB2312" w:eastAsia="仿宋_GB2312"/>
          <w:sz w:val="30"/>
          <w:szCs w:val="30"/>
          <w:highlight w:val="yellow"/>
        </w:rPr>
        <w:t>万元，同比增长</w:t>
      </w:r>
      <w:r>
        <w:rPr>
          <w:rFonts w:hint="eastAsia" w:ascii="仿宋_GB2312" w:hAnsi="仿宋_GB2312" w:eastAsia="仿宋_GB2312" w:cs="仿宋_GB2312"/>
          <w:sz w:val="28"/>
          <w:szCs w:val="28"/>
          <w:highlight w:val="yellow"/>
        </w:rPr>
        <w:t>1234.82</w:t>
      </w:r>
      <w:r>
        <w:rPr>
          <w:rFonts w:hint="eastAsia" w:ascii="仿宋_GB2312" w:eastAsia="仿宋_GB2312"/>
          <w:sz w:val="30"/>
          <w:szCs w:val="30"/>
          <w:highlight w:val="yellow"/>
        </w:rPr>
        <w:t>万元，增幅13.03%；年度内所得税费用2400万元；实现净利润</w:t>
      </w:r>
      <w:r>
        <w:rPr>
          <w:rFonts w:hint="eastAsia" w:ascii="仿宋_GB2312" w:eastAsia="仿宋_GB2312"/>
          <w:color w:val="000000"/>
          <w:sz w:val="28"/>
          <w:szCs w:val="28"/>
          <w:highlight w:val="yellow"/>
        </w:rPr>
        <w:t>8313.99</w:t>
      </w:r>
      <w:r>
        <w:rPr>
          <w:rFonts w:hint="eastAsia" w:ascii="仿宋_GB2312" w:eastAsia="仿宋_GB2312"/>
          <w:sz w:val="30"/>
          <w:szCs w:val="30"/>
          <w:highlight w:val="yellow"/>
        </w:rPr>
        <w:t>万元，同比增长</w:t>
      </w:r>
      <w:r>
        <w:rPr>
          <w:rFonts w:hint="eastAsia" w:ascii="仿宋_GB2312" w:hAnsi="仿宋_GB2312" w:eastAsia="仿宋_GB2312" w:cs="仿宋_GB2312"/>
          <w:sz w:val="28"/>
          <w:szCs w:val="28"/>
        </w:rPr>
        <w:t>1050.59</w:t>
      </w:r>
      <w:r>
        <w:rPr>
          <w:rFonts w:hint="eastAsia" w:ascii="仿宋_GB2312" w:eastAsia="仿宋_GB2312"/>
          <w:sz w:val="30"/>
          <w:szCs w:val="30"/>
          <w:highlight w:val="yellow"/>
        </w:rPr>
        <w:t>万元，增幅14.46%。</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01"/>
        <w:textAlignment w:val="auto"/>
        <w:rPr>
          <w:rFonts w:ascii="仿宋_GB2312" w:hAnsi="微软雅黑" w:eastAsia="仿宋_GB2312" w:cs="宋体"/>
          <w:b/>
          <w:color w:val="auto"/>
          <w:sz w:val="30"/>
          <w:szCs w:val="30"/>
          <w:highlight w:val="none"/>
        </w:rPr>
      </w:pPr>
    </w:p>
    <w:p>
      <w:pPr>
        <w:pStyle w:val="2"/>
        <w:spacing w:line="560" w:lineRule="exact"/>
        <w:ind w:firstLine="600" w:firstLineChars="200"/>
        <w:rPr>
          <w:rFonts w:ascii="仿宋_GB2312" w:hAnsi="微软雅黑" w:eastAsia="仿宋_GB2312" w:cs="宋体"/>
          <w:sz w:val="30"/>
          <w:szCs w:val="30"/>
        </w:rPr>
      </w:pPr>
      <w:bookmarkStart w:id="33" w:name="_Toc219553414"/>
      <w:bookmarkEnd w:id="33"/>
      <w:bookmarkStart w:id="34" w:name="_Toc219474573"/>
      <w:bookmarkEnd w:id="34"/>
      <w:bookmarkStart w:id="35" w:name="_Toc203486379"/>
      <w:bookmarkEnd w:id="35"/>
      <w:bookmarkStart w:id="36" w:name="_Toc219552574"/>
      <w:bookmarkEnd w:id="36"/>
      <w:r>
        <w:rPr>
          <w:rFonts w:hint="eastAsia" w:ascii="仿宋_GB2312" w:hAnsi="微软雅黑" w:eastAsia="仿宋_GB2312" w:cs="宋体"/>
          <w:sz w:val="30"/>
          <w:szCs w:val="30"/>
          <w:highlight w:val="yellow"/>
        </w:rPr>
        <w:t>本行经会计师事务所审计后确认的净利润为</w:t>
      </w:r>
      <w:r>
        <w:rPr>
          <w:rFonts w:hint="eastAsia" w:ascii="仿宋_GB2312" w:eastAsia="仿宋_GB2312"/>
          <w:color w:val="000000"/>
          <w:sz w:val="28"/>
          <w:szCs w:val="28"/>
          <w:highlight w:val="yellow"/>
        </w:rPr>
        <w:t>8313.99</w:t>
      </w:r>
      <w:r>
        <w:rPr>
          <w:rFonts w:hint="eastAsia" w:ascii="仿宋_GB2312" w:hAnsi="微软雅黑" w:eastAsia="仿宋_GB2312" w:cs="宋体"/>
          <w:sz w:val="30"/>
          <w:szCs w:val="30"/>
          <w:highlight w:val="yellow"/>
        </w:rPr>
        <w:t>万元，考虑以前年度损益调减144.41万元的因素，实际可供分配净利润为8169.58万元。本年度按净</w:t>
      </w:r>
      <w:r>
        <w:rPr>
          <w:rFonts w:hint="eastAsia" w:ascii="仿宋_GB2312" w:hAnsi="仿宋_GB2312" w:eastAsia="仿宋_GB2312" w:cs="仿宋_GB2312"/>
          <w:sz w:val="30"/>
          <w:szCs w:val="30"/>
          <w:highlight w:val="yellow"/>
        </w:rPr>
        <w:t>利润的10%提取法定盈余公积，共提取金额831.4万元，2022年10月进行了上年度股金分红。</w:t>
      </w:r>
    </w:p>
    <w:p>
      <w:pPr>
        <w:shd w:val="clear" w:color="auto" w:fill="FFFFFF"/>
        <w:adjustRightInd/>
        <w:snapToGrid/>
        <w:spacing w:after="0" w:line="560" w:lineRule="exact"/>
        <w:ind w:firstLine="602" w:firstLineChars="200"/>
        <w:rPr>
          <w:rFonts w:ascii="仿宋_GB2312" w:hAnsi="微软雅黑" w:eastAsia="仿宋_GB2312" w:cs="宋体"/>
          <w:b/>
          <w:sz w:val="30"/>
          <w:szCs w:val="30"/>
        </w:rPr>
      </w:pPr>
      <w:r>
        <w:rPr>
          <w:rFonts w:hint="eastAsia" w:ascii="仿宋_GB2312" w:hAnsi="微软雅黑" w:eastAsia="仿宋_GB2312" w:cs="宋体"/>
          <w:b/>
          <w:sz w:val="30"/>
          <w:szCs w:val="30"/>
        </w:rPr>
        <w:t>4．拨备提取情况</w:t>
      </w:r>
    </w:p>
    <w:p>
      <w:pPr>
        <w:rPr>
          <w:rFonts w:ascii="仿宋_GB2312" w:hAnsi="宋体" w:eastAsia="仿宋_GB2312" w:cs="宋体"/>
          <w:color w:val="000000"/>
          <w:sz w:val="20"/>
          <w:szCs w:val="20"/>
          <w:lang w:bidi="ug-CN"/>
        </w:rPr>
      </w:pPr>
      <w:r>
        <w:rPr>
          <w:rFonts w:hint="eastAsia" w:ascii="仿宋_GB2312" w:eastAsia="仿宋_GB2312"/>
          <w:sz w:val="30"/>
          <w:szCs w:val="30"/>
        </w:rPr>
        <w:t xml:space="preserve">    </w:t>
      </w:r>
      <w:r>
        <w:rPr>
          <w:rFonts w:hint="eastAsia" w:ascii="仿宋_GB2312" w:eastAsia="仿宋_GB2312"/>
          <w:sz w:val="30"/>
          <w:szCs w:val="30"/>
          <w:highlight w:val="yellow"/>
        </w:rPr>
        <w:t>2022年，本行五级分类不良贷款余额为73,801.07万元，当年计提贷款损失准备11337.78万元；贷款损失准备余额达到</w:t>
      </w:r>
      <w:r>
        <w:rPr>
          <w:rFonts w:ascii="仿宋_GB2312" w:eastAsia="仿宋_GB2312"/>
          <w:sz w:val="30"/>
          <w:szCs w:val="30"/>
          <w:highlight w:val="yellow"/>
        </w:rPr>
        <w:t>113804.85</w:t>
      </w:r>
      <w:r>
        <w:rPr>
          <w:rFonts w:hint="eastAsia" w:ascii="仿宋_GB2312" w:eastAsia="仿宋_GB2312"/>
          <w:sz w:val="30"/>
          <w:szCs w:val="30"/>
          <w:highlight w:val="yellow"/>
        </w:rPr>
        <w:t>万元，拨备覆盖率154.2%。</w:t>
      </w:r>
    </w:p>
    <w:p>
      <w:pPr>
        <w:spacing w:afterLines="50" w:line="560" w:lineRule="exact"/>
        <w:ind w:firstLine="602" w:firstLineChars="200"/>
        <w:rPr>
          <w:rFonts w:hint="eastAsia"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2.2 业务运营情况</w:t>
      </w:r>
    </w:p>
    <w:p>
      <w:pPr>
        <w:spacing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2.2.1  存款业务</w:t>
      </w:r>
    </w:p>
    <w:p>
      <w:pPr>
        <w:shd w:val="clear" w:color="auto" w:fill="FFFFFF"/>
        <w:adjustRightInd/>
        <w:snapToGrid/>
        <w:spacing w:after="0" w:line="560" w:lineRule="exact"/>
        <w:ind w:firstLine="600" w:firstLineChars="200"/>
        <w:rPr>
          <w:rFonts w:ascii="仿宋_GB2312" w:hAnsi="微软雅黑" w:eastAsia="仿宋_GB2312" w:cs="宋体"/>
          <w:color w:val="auto"/>
          <w:sz w:val="18"/>
          <w:szCs w:val="18"/>
          <w:highlight w:val="none"/>
        </w:rPr>
      </w:pPr>
      <w:r>
        <w:rPr>
          <w:rFonts w:hint="eastAsia" w:ascii="仿宋_GB2312" w:hAnsi="微软雅黑" w:eastAsia="仿宋_GB2312" w:cs="宋体"/>
          <w:color w:val="auto"/>
          <w:sz w:val="30"/>
          <w:szCs w:val="30"/>
          <w:highlight w:val="none"/>
        </w:rPr>
        <w:t>截止20</w:t>
      </w:r>
      <w:r>
        <w:rPr>
          <w:rFonts w:hint="eastAsia" w:ascii="仿宋_GB2312" w:hAnsi="微软雅黑" w:eastAsia="仿宋_GB2312" w:cs="宋体"/>
          <w:color w:val="auto"/>
          <w:sz w:val="30"/>
          <w:szCs w:val="30"/>
          <w:highlight w:val="none"/>
          <w:lang w:val="en-US" w:eastAsia="zh-CN"/>
        </w:rPr>
        <w:t>22</w:t>
      </w:r>
      <w:r>
        <w:rPr>
          <w:rFonts w:hint="eastAsia" w:ascii="仿宋_GB2312" w:hAnsi="微软雅黑" w:eastAsia="仿宋_GB2312" w:cs="宋体"/>
          <w:color w:val="auto"/>
          <w:sz w:val="30"/>
          <w:szCs w:val="30"/>
          <w:highlight w:val="none"/>
        </w:rPr>
        <w:t>年末，本行各项存款余额</w:t>
      </w:r>
      <w:r>
        <w:rPr>
          <w:rFonts w:hint="eastAsia" w:ascii="仿宋_GB2312" w:hAnsi="Times New Roman" w:eastAsia="仿宋_GB2312" w:cs="Times New Roman"/>
          <w:color w:val="auto"/>
          <w:sz w:val="30"/>
          <w:szCs w:val="30"/>
          <w:highlight w:val="none"/>
          <w:lang w:val="en-US" w:eastAsia="zh-CN"/>
        </w:rPr>
        <w:t>2799729</w:t>
      </w:r>
      <w:r>
        <w:rPr>
          <w:rFonts w:hint="eastAsia" w:ascii="仿宋_GB2312" w:hAnsi="微软雅黑" w:eastAsia="仿宋_GB2312" w:cs="宋体"/>
          <w:color w:val="auto"/>
          <w:sz w:val="30"/>
          <w:szCs w:val="30"/>
          <w:highlight w:val="none"/>
        </w:rPr>
        <w:t>万元，比年初增加</w:t>
      </w:r>
      <w:r>
        <w:rPr>
          <w:rFonts w:hint="eastAsia" w:ascii="仿宋_GB2312" w:hAnsi="微软雅黑" w:eastAsia="仿宋_GB2312" w:cs="宋体"/>
          <w:color w:val="auto"/>
          <w:sz w:val="30"/>
          <w:szCs w:val="30"/>
          <w:highlight w:val="none"/>
          <w:lang w:val="en-US" w:eastAsia="zh-CN"/>
        </w:rPr>
        <w:t>243176</w:t>
      </w:r>
      <w:r>
        <w:rPr>
          <w:rFonts w:hint="eastAsia" w:ascii="仿宋_GB2312" w:hAnsi="微软雅黑" w:eastAsia="仿宋_GB2312" w:cs="宋体"/>
          <w:color w:val="auto"/>
          <w:sz w:val="30"/>
          <w:szCs w:val="30"/>
          <w:highlight w:val="none"/>
        </w:rPr>
        <w:t>万元，增长</w:t>
      </w:r>
      <w:r>
        <w:rPr>
          <w:rFonts w:hint="eastAsia" w:ascii="仿宋_GB2312" w:hAnsi="Times New Roman" w:eastAsia="仿宋_GB2312" w:cs="Times New Roman"/>
          <w:color w:val="auto"/>
          <w:sz w:val="30"/>
          <w:szCs w:val="30"/>
          <w:highlight w:val="none"/>
          <w:lang w:val="en-US" w:eastAsia="zh-CN"/>
        </w:rPr>
        <w:t>9.51</w:t>
      </w:r>
      <w:r>
        <w:rPr>
          <w:rFonts w:hint="eastAsia" w:ascii="仿宋_GB2312" w:hAnsi="微软雅黑" w:eastAsia="仿宋_GB2312" w:cs="宋体"/>
          <w:color w:val="auto"/>
          <w:sz w:val="30"/>
          <w:szCs w:val="30"/>
          <w:highlight w:val="none"/>
        </w:rPr>
        <w:t>%。</w:t>
      </w:r>
    </w:p>
    <w:p>
      <w:pPr>
        <w:shd w:val="clear" w:color="auto" w:fill="FFFFFF"/>
        <w:adjustRightInd/>
        <w:snapToGrid/>
        <w:spacing w:after="0" w:line="560" w:lineRule="exact"/>
        <w:ind w:firstLine="601"/>
        <w:rPr>
          <w:rFonts w:ascii="仿宋_GB2312" w:hAnsi="微软雅黑" w:eastAsia="仿宋_GB2312" w:cs="宋体"/>
          <w:color w:val="auto"/>
          <w:sz w:val="30"/>
          <w:szCs w:val="30"/>
          <w:highlight w:val="none"/>
        </w:rPr>
      </w:pPr>
      <w:r>
        <w:rPr>
          <w:rFonts w:hint="eastAsia" w:ascii="仿宋_GB2312" w:hAnsi="微软雅黑" w:eastAsia="仿宋_GB2312" w:cs="宋体"/>
          <w:color w:val="auto"/>
          <w:sz w:val="30"/>
          <w:szCs w:val="30"/>
          <w:highlight w:val="none"/>
        </w:rPr>
        <w:t>20</w:t>
      </w:r>
      <w:r>
        <w:rPr>
          <w:rFonts w:hint="eastAsia" w:ascii="仿宋_GB2312" w:hAnsi="微软雅黑" w:eastAsia="仿宋_GB2312" w:cs="宋体"/>
          <w:color w:val="auto"/>
          <w:sz w:val="30"/>
          <w:szCs w:val="30"/>
          <w:highlight w:val="none"/>
          <w:lang w:val="en-US" w:eastAsia="zh-CN"/>
        </w:rPr>
        <w:t>22</w:t>
      </w:r>
      <w:r>
        <w:rPr>
          <w:rFonts w:hint="eastAsia" w:ascii="仿宋_GB2312" w:hAnsi="微软雅黑" w:eastAsia="仿宋_GB2312" w:cs="宋体"/>
          <w:color w:val="auto"/>
          <w:sz w:val="30"/>
          <w:szCs w:val="30"/>
          <w:highlight w:val="none"/>
        </w:rPr>
        <w:t>年末本行存款在全县金融系统占比</w:t>
      </w:r>
      <w:r>
        <w:rPr>
          <w:rFonts w:hint="eastAsia" w:ascii="仿宋_GB2312" w:hAnsi="微软雅黑" w:eastAsia="仿宋_GB2312" w:cs="宋体"/>
          <w:color w:val="auto"/>
          <w:sz w:val="30"/>
          <w:szCs w:val="30"/>
          <w:highlight w:val="none"/>
          <w:lang w:val="en-US" w:eastAsia="zh-CN"/>
        </w:rPr>
        <w:t>37.50</w:t>
      </w:r>
      <w:r>
        <w:rPr>
          <w:rFonts w:hint="eastAsia" w:ascii="仿宋_GB2312" w:hAnsi="微软雅黑" w:eastAsia="仿宋_GB2312" w:cs="宋体"/>
          <w:color w:val="auto"/>
          <w:sz w:val="30"/>
          <w:szCs w:val="30"/>
          <w:highlight w:val="none"/>
        </w:rPr>
        <w:t>%，存款市场份稳居全县第一位。</w:t>
      </w:r>
      <w:bookmarkStart w:id="37" w:name="_Toc219553407"/>
      <w:bookmarkEnd w:id="37"/>
      <w:bookmarkStart w:id="38" w:name="_Toc219552567"/>
      <w:bookmarkEnd w:id="38"/>
    </w:p>
    <w:p>
      <w:pPr>
        <w:spacing w:beforeLines="50"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2.2.2  信贷业务</w:t>
      </w:r>
      <w:bookmarkStart w:id="39" w:name="_Toc194908728"/>
      <w:bookmarkEnd w:id="39"/>
      <w:bookmarkStart w:id="40" w:name="_Toc194887787"/>
      <w:bookmarkEnd w:id="40"/>
      <w:bookmarkStart w:id="41" w:name="_Toc194886348"/>
      <w:bookmarkEnd w:id="41"/>
      <w:bookmarkStart w:id="42" w:name="_Toc203486375"/>
      <w:bookmarkEnd w:id="42"/>
      <w:bookmarkStart w:id="43" w:name="_Toc219553410"/>
      <w:bookmarkEnd w:id="43"/>
      <w:bookmarkStart w:id="44" w:name="_Toc219474569"/>
      <w:bookmarkEnd w:id="44"/>
      <w:bookmarkStart w:id="45" w:name="_Toc219552570"/>
      <w:bookmarkEnd w:id="45"/>
    </w:p>
    <w:p>
      <w:pPr>
        <w:shd w:val="clear" w:color="auto" w:fill="FFFFFF"/>
        <w:adjustRightInd/>
        <w:snapToGrid/>
        <w:spacing w:after="0" w:line="560" w:lineRule="exact"/>
        <w:ind w:firstLine="600" w:firstLineChars="200"/>
        <w:rPr>
          <w:rFonts w:ascii="仿宋_GB2312" w:hAnsi="微软雅黑" w:eastAsia="仿宋_GB2312" w:cs="宋体"/>
          <w:color w:val="auto"/>
          <w:sz w:val="30"/>
          <w:szCs w:val="30"/>
          <w:highlight w:val="none"/>
        </w:rPr>
      </w:pPr>
      <w:r>
        <w:rPr>
          <w:rFonts w:hint="eastAsia" w:ascii="仿宋_GB2312" w:hAnsi="微软雅黑" w:eastAsia="仿宋_GB2312" w:cs="宋体"/>
          <w:color w:val="auto"/>
          <w:sz w:val="30"/>
          <w:szCs w:val="30"/>
          <w:highlight w:val="none"/>
        </w:rPr>
        <w:t>20</w:t>
      </w:r>
      <w:r>
        <w:rPr>
          <w:rFonts w:hint="eastAsia" w:ascii="仿宋_GB2312" w:hAnsi="微软雅黑" w:eastAsia="仿宋_GB2312" w:cs="宋体"/>
          <w:color w:val="auto"/>
          <w:sz w:val="30"/>
          <w:szCs w:val="30"/>
          <w:highlight w:val="none"/>
          <w:lang w:val="en-US" w:eastAsia="zh-CN"/>
        </w:rPr>
        <w:t>21</w:t>
      </w:r>
      <w:r>
        <w:rPr>
          <w:rFonts w:hint="eastAsia" w:ascii="仿宋_GB2312" w:hAnsi="微软雅黑" w:eastAsia="仿宋_GB2312" w:cs="宋体"/>
          <w:color w:val="auto"/>
          <w:sz w:val="30"/>
          <w:szCs w:val="30"/>
          <w:highlight w:val="none"/>
        </w:rPr>
        <w:t>年，在</w:t>
      </w:r>
      <w:r>
        <w:rPr>
          <w:rFonts w:hint="eastAsia" w:ascii="仿宋_GB2312" w:hAnsi="微软雅黑" w:eastAsia="仿宋_GB2312" w:cs="宋体"/>
          <w:color w:val="auto"/>
          <w:sz w:val="30"/>
          <w:szCs w:val="30"/>
          <w:highlight w:val="none"/>
          <w:lang w:val="en-US" w:eastAsia="zh-CN"/>
        </w:rPr>
        <w:t>新冠疫情突发、</w:t>
      </w:r>
      <w:r>
        <w:rPr>
          <w:rFonts w:hint="eastAsia" w:ascii="仿宋_GB2312" w:hAnsi="微软雅黑" w:eastAsia="仿宋_GB2312" w:cs="宋体"/>
          <w:color w:val="auto"/>
          <w:sz w:val="30"/>
          <w:szCs w:val="30"/>
          <w:highlight w:val="none"/>
        </w:rPr>
        <w:t>经济增速放缓、经济新常态和金融竞争新形势下，</w:t>
      </w:r>
      <w:r>
        <w:rPr>
          <w:rFonts w:hint="eastAsia" w:ascii="仿宋_GB2312" w:eastAsia="仿宋_GB2312"/>
          <w:color w:val="auto"/>
          <w:sz w:val="30"/>
          <w:szCs w:val="30"/>
          <w:highlight w:val="none"/>
        </w:rPr>
        <w:t>正确处理规模、质量、</w:t>
      </w:r>
      <w:r>
        <w:rPr>
          <w:rFonts w:hint="eastAsia" w:ascii="仿宋_GB2312" w:hAnsi="微软雅黑" w:eastAsia="仿宋_GB2312" w:cs="宋体"/>
          <w:color w:val="auto"/>
          <w:sz w:val="30"/>
          <w:szCs w:val="30"/>
          <w:highlight w:val="none"/>
        </w:rPr>
        <w:t>效益三者关系，综合考虑县域未来几年的社会经济发展速度、金融市场需求、同业竞争及自身优势等因素，在支持本地传统产业和新兴产业的同时，持续加大对绿色信贷的支持力度，信贷业务规模总体保持着平稳增长，市场份额不断扩大。本行始终坚持服务“三农”和中小企业的发展目标不动摇，不断完善对涉农及中小企业的金融服务机制，创新服务方式，加大支农信贷投放力度，实现了涉农及小微企业贷款投放的持续增长，核心竞争力得到不断提升。</w:t>
      </w:r>
    </w:p>
    <w:p>
      <w:pPr>
        <w:shd w:val="clear" w:color="auto" w:fill="FFFFFF"/>
        <w:adjustRightInd/>
        <w:snapToGrid/>
        <w:spacing w:after="0" w:line="560" w:lineRule="exact"/>
        <w:ind w:firstLine="600" w:firstLineChars="200"/>
        <w:rPr>
          <w:rFonts w:hint="eastAsia" w:ascii="仿宋_GB2312" w:hAnsi="微软雅黑" w:eastAsia="仿宋_GB2312" w:cs="宋体"/>
          <w:color w:val="auto"/>
          <w:sz w:val="30"/>
          <w:szCs w:val="30"/>
          <w:highlight w:val="none"/>
        </w:rPr>
      </w:pPr>
      <w:r>
        <w:rPr>
          <w:rFonts w:hint="eastAsia" w:ascii="仿宋_GB2312" w:hAnsi="微软雅黑" w:eastAsia="仿宋_GB2312" w:cs="宋体"/>
          <w:color w:val="auto"/>
          <w:sz w:val="30"/>
          <w:szCs w:val="30"/>
          <w:highlight w:val="none"/>
        </w:rPr>
        <w:t>截至20</w:t>
      </w:r>
      <w:r>
        <w:rPr>
          <w:rFonts w:hint="eastAsia" w:ascii="仿宋_GB2312" w:hAnsi="微软雅黑" w:eastAsia="仿宋_GB2312" w:cs="宋体"/>
          <w:color w:val="auto"/>
          <w:sz w:val="30"/>
          <w:szCs w:val="30"/>
          <w:highlight w:val="none"/>
          <w:lang w:val="en-US" w:eastAsia="zh-CN"/>
        </w:rPr>
        <w:t>22</w:t>
      </w:r>
      <w:r>
        <w:rPr>
          <w:rFonts w:hint="eastAsia" w:ascii="仿宋_GB2312" w:hAnsi="微软雅黑" w:eastAsia="仿宋_GB2312" w:cs="宋体"/>
          <w:color w:val="auto"/>
          <w:sz w:val="30"/>
          <w:szCs w:val="30"/>
          <w:highlight w:val="none"/>
        </w:rPr>
        <w:t>年末，本行各项贷款</w:t>
      </w:r>
      <w:r>
        <w:rPr>
          <w:rFonts w:hint="eastAsia" w:ascii="仿宋_GB2312" w:hAnsi="微软雅黑" w:eastAsia="仿宋_GB2312" w:cs="宋体"/>
          <w:color w:val="auto"/>
          <w:sz w:val="30"/>
          <w:szCs w:val="30"/>
          <w:highlight w:val="none"/>
          <w:lang w:val="en-US" w:eastAsia="zh-CN"/>
        </w:rPr>
        <w:t>1738799</w:t>
      </w:r>
      <w:r>
        <w:rPr>
          <w:rFonts w:hint="eastAsia" w:ascii="仿宋_GB2312" w:hAnsi="微软雅黑" w:eastAsia="仿宋_GB2312" w:cs="宋体"/>
          <w:color w:val="auto"/>
          <w:sz w:val="30"/>
          <w:szCs w:val="30"/>
          <w:highlight w:val="none"/>
        </w:rPr>
        <w:t>万元，较年初增加</w:t>
      </w:r>
      <w:r>
        <w:rPr>
          <w:rFonts w:hint="eastAsia" w:ascii="仿宋_GB2312" w:hAnsi="微软雅黑" w:eastAsia="仿宋_GB2312" w:cs="宋体"/>
          <w:color w:val="auto"/>
          <w:sz w:val="30"/>
          <w:szCs w:val="30"/>
          <w:highlight w:val="none"/>
          <w:lang w:val="en-US" w:eastAsia="zh-CN"/>
        </w:rPr>
        <w:t>163351</w:t>
      </w:r>
      <w:r>
        <w:rPr>
          <w:rFonts w:hint="eastAsia" w:ascii="仿宋_GB2312" w:hAnsi="微软雅黑" w:eastAsia="仿宋_GB2312" w:cs="宋体"/>
          <w:color w:val="auto"/>
          <w:sz w:val="30"/>
          <w:szCs w:val="30"/>
          <w:highlight w:val="none"/>
        </w:rPr>
        <w:t>万元。各项贷款从结构上看：涉农贷款余额</w:t>
      </w:r>
      <w:r>
        <w:rPr>
          <w:rFonts w:hint="eastAsia" w:ascii="仿宋_GB2312" w:hAnsi="微软雅黑" w:eastAsia="仿宋_GB2312" w:cs="宋体"/>
          <w:color w:val="auto"/>
          <w:sz w:val="30"/>
          <w:szCs w:val="30"/>
          <w:highlight w:val="none"/>
          <w:lang w:val="en-US" w:eastAsia="zh-CN"/>
        </w:rPr>
        <w:t>1309358</w:t>
      </w:r>
      <w:r>
        <w:rPr>
          <w:rFonts w:hint="eastAsia" w:ascii="仿宋_GB2312" w:hAnsi="微软雅黑" w:eastAsia="仿宋_GB2312" w:cs="宋体"/>
          <w:color w:val="auto"/>
          <w:sz w:val="30"/>
          <w:szCs w:val="30"/>
          <w:highlight w:val="none"/>
        </w:rPr>
        <w:t>万元，比年初增长</w:t>
      </w:r>
      <w:r>
        <w:rPr>
          <w:rFonts w:hint="eastAsia" w:ascii="仿宋_GB2312" w:hAnsi="微软雅黑" w:eastAsia="仿宋_GB2312" w:cs="宋体"/>
          <w:color w:val="auto"/>
          <w:sz w:val="30"/>
          <w:szCs w:val="30"/>
          <w:highlight w:val="none"/>
          <w:lang w:val="en-US" w:eastAsia="zh-CN"/>
        </w:rPr>
        <w:t>134407</w:t>
      </w:r>
      <w:r>
        <w:rPr>
          <w:rFonts w:hint="eastAsia" w:ascii="仿宋_GB2312" w:hAnsi="微软雅黑" w:eastAsia="仿宋_GB2312" w:cs="宋体"/>
          <w:color w:val="auto"/>
          <w:sz w:val="30"/>
          <w:szCs w:val="30"/>
          <w:highlight w:val="none"/>
        </w:rPr>
        <w:t>万元。小微企业贷款余额达到</w:t>
      </w:r>
      <w:r>
        <w:rPr>
          <w:rFonts w:hint="eastAsia" w:ascii="仿宋_GB2312" w:hAnsi="微软雅黑" w:eastAsia="仿宋_GB2312" w:cs="宋体"/>
          <w:color w:val="auto"/>
          <w:sz w:val="30"/>
          <w:szCs w:val="30"/>
          <w:highlight w:val="none"/>
          <w:lang w:val="en-US" w:eastAsia="zh-CN"/>
        </w:rPr>
        <w:t>1218523</w:t>
      </w:r>
      <w:r>
        <w:rPr>
          <w:rFonts w:hint="eastAsia" w:ascii="仿宋_GB2312" w:hAnsi="微软雅黑" w:eastAsia="仿宋_GB2312" w:cs="宋体"/>
          <w:color w:val="auto"/>
          <w:sz w:val="30"/>
          <w:szCs w:val="30"/>
          <w:highlight w:val="none"/>
        </w:rPr>
        <w:t>万元，较年初增长</w:t>
      </w:r>
      <w:r>
        <w:rPr>
          <w:rFonts w:hint="eastAsia" w:ascii="仿宋_GB2312" w:hAnsi="微软雅黑" w:eastAsia="仿宋_GB2312" w:cs="宋体"/>
          <w:color w:val="auto"/>
          <w:sz w:val="30"/>
          <w:szCs w:val="30"/>
          <w:highlight w:val="none"/>
          <w:lang w:val="en-US" w:eastAsia="zh-CN"/>
        </w:rPr>
        <w:t>183902</w:t>
      </w:r>
      <w:r>
        <w:rPr>
          <w:rFonts w:hint="eastAsia" w:ascii="仿宋_GB2312" w:hAnsi="微软雅黑" w:eastAsia="仿宋_GB2312" w:cs="宋体"/>
          <w:color w:val="auto"/>
          <w:sz w:val="30"/>
          <w:szCs w:val="30"/>
          <w:highlight w:val="none"/>
        </w:rPr>
        <w:t>万元；</w:t>
      </w:r>
      <w:r>
        <w:rPr>
          <w:rFonts w:hint="eastAsia" w:ascii="仿宋_GB2312" w:hAnsi="微软雅黑" w:eastAsia="仿宋_GB2312" w:cs="宋体"/>
          <w:color w:val="auto"/>
          <w:sz w:val="30"/>
          <w:szCs w:val="30"/>
          <w:highlight w:val="none"/>
          <w:u w:val="none"/>
        </w:rPr>
        <w:t>小微企业贷款户数</w:t>
      </w:r>
      <w:r>
        <w:rPr>
          <w:rFonts w:hint="eastAsia" w:ascii="仿宋_GB2312" w:hAnsi="微软雅黑" w:eastAsia="仿宋_GB2312" w:cs="宋体"/>
          <w:color w:val="auto"/>
          <w:sz w:val="30"/>
          <w:szCs w:val="30"/>
          <w:highlight w:val="none"/>
          <w:u w:val="none"/>
          <w:lang w:val="en-US" w:eastAsia="zh-CN"/>
        </w:rPr>
        <w:t>1357</w:t>
      </w:r>
      <w:r>
        <w:rPr>
          <w:rFonts w:hint="eastAsia" w:ascii="仿宋_GB2312" w:hAnsi="微软雅黑" w:eastAsia="仿宋_GB2312" w:cs="宋体"/>
          <w:color w:val="auto"/>
          <w:sz w:val="30"/>
          <w:szCs w:val="30"/>
          <w:highlight w:val="none"/>
          <w:u w:val="none"/>
        </w:rPr>
        <w:t>户，较年初增加</w:t>
      </w:r>
      <w:r>
        <w:rPr>
          <w:rFonts w:hint="eastAsia" w:ascii="仿宋_GB2312" w:hAnsi="微软雅黑" w:eastAsia="仿宋_GB2312" w:cs="宋体"/>
          <w:color w:val="auto"/>
          <w:sz w:val="30"/>
          <w:szCs w:val="30"/>
          <w:highlight w:val="none"/>
          <w:u w:val="none"/>
          <w:lang w:val="en-US" w:eastAsia="zh-CN"/>
        </w:rPr>
        <w:t>202</w:t>
      </w:r>
      <w:r>
        <w:rPr>
          <w:rFonts w:hint="eastAsia" w:ascii="仿宋_GB2312" w:hAnsi="微软雅黑" w:eastAsia="仿宋_GB2312" w:cs="宋体"/>
          <w:color w:val="auto"/>
          <w:sz w:val="30"/>
          <w:szCs w:val="30"/>
          <w:highlight w:val="none"/>
          <w:u w:val="none"/>
        </w:rPr>
        <w:t>户。贷款市场份额</w:t>
      </w:r>
      <w:r>
        <w:rPr>
          <w:rFonts w:hint="eastAsia" w:ascii="仿宋_GB2312" w:hAnsi="微软雅黑" w:eastAsia="仿宋_GB2312" w:cs="宋体"/>
          <w:color w:val="auto"/>
          <w:sz w:val="30"/>
          <w:szCs w:val="30"/>
          <w:highlight w:val="none"/>
          <w:u w:val="none"/>
          <w:lang w:val="en-US" w:eastAsia="zh-CN"/>
        </w:rPr>
        <w:t>53.80%，</w:t>
      </w:r>
      <w:r>
        <w:rPr>
          <w:rFonts w:hint="eastAsia" w:ascii="仿宋_GB2312" w:hAnsi="微软雅黑" w:eastAsia="仿宋_GB2312" w:cs="宋体"/>
          <w:color w:val="auto"/>
          <w:sz w:val="30"/>
          <w:szCs w:val="30"/>
          <w:highlight w:val="none"/>
          <w:u w:val="none"/>
        </w:rPr>
        <w:t>保持全</w:t>
      </w:r>
      <w:r>
        <w:rPr>
          <w:rFonts w:hint="eastAsia" w:ascii="仿宋_GB2312" w:hAnsi="微软雅黑" w:eastAsia="仿宋_GB2312" w:cs="宋体"/>
          <w:color w:val="auto"/>
          <w:sz w:val="30"/>
          <w:szCs w:val="30"/>
          <w:highlight w:val="none"/>
        </w:rPr>
        <w:t>县银行业机构领先地位，为全县经济持续增长做出了突出贡献。</w:t>
      </w:r>
    </w:p>
    <w:p>
      <w:pPr>
        <w:spacing w:beforeLines="50" w:afterLines="50" w:line="560" w:lineRule="exact"/>
        <w:ind w:firstLine="600" w:firstLineChars="200"/>
        <w:jc w:val="both"/>
        <w:rPr>
          <w:rFonts w:hint="eastAsia" w:ascii="楷体" w:hAnsi="楷体" w:eastAsia="楷体" w:cs="宋体"/>
          <w:b/>
          <w:bCs/>
          <w:color w:val="auto"/>
          <w:sz w:val="30"/>
          <w:szCs w:val="30"/>
          <w:highlight w:val="none"/>
          <w:lang w:val="en-US" w:eastAsia="zh-CN"/>
        </w:rPr>
      </w:pPr>
      <w:r>
        <w:rPr>
          <w:rFonts w:hint="eastAsia" w:ascii="仿宋_GB2312" w:hAnsi="微软雅黑" w:eastAsia="仿宋_GB2312" w:cs="宋体"/>
          <w:color w:val="auto"/>
          <w:sz w:val="30"/>
          <w:szCs w:val="30"/>
          <w:highlight w:val="none"/>
          <w:lang w:val="en-US" w:eastAsia="zh-CN"/>
        </w:rPr>
        <w:t xml:space="preserve"> </w:t>
      </w:r>
      <w:r>
        <w:rPr>
          <w:rFonts w:hint="eastAsia" w:ascii="楷体" w:hAnsi="楷体" w:eastAsia="楷体" w:cs="宋体"/>
          <w:b/>
          <w:bCs/>
          <w:color w:val="auto"/>
          <w:sz w:val="30"/>
          <w:szCs w:val="30"/>
          <w:highlight w:val="none"/>
        </w:rPr>
        <w:t>2.2.</w:t>
      </w:r>
      <w:r>
        <w:rPr>
          <w:rFonts w:hint="eastAsia" w:ascii="楷体" w:hAnsi="楷体" w:eastAsia="楷体" w:cs="宋体"/>
          <w:b/>
          <w:bCs/>
          <w:color w:val="auto"/>
          <w:sz w:val="30"/>
          <w:szCs w:val="30"/>
          <w:highlight w:val="none"/>
          <w:lang w:val="en-US" w:eastAsia="zh-CN"/>
        </w:rPr>
        <w:t>3</w:t>
      </w:r>
      <w:r>
        <w:rPr>
          <w:rFonts w:hint="eastAsia" w:ascii="楷体" w:hAnsi="楷体" w:eastAsia="楷体" w:cs="宋体"/>
          <w:b/>
          <w:bCs/>
          <w:color w:val="auto"/>
          <w:sz w:val="30"/>
          <w:szCs w:val="30"/>
          <w:highlight w:val="none"/>
        </w:rPr>
        <w:t xml:space="preserve">  </w:t>
      </w:r>
      <w:r>
        <w:rPr>
          <w:rFonts w:hint="eastAsia" w:ascii="楷体" w:hAnsi="楷体" w:eastAsia="楷体" w:cs="宋体"/>
          <w:b/>
          <w:bCs/>
          <w:color w:val="auto"/>
          <w:sz w:val="30"/>
          <w:szCs w:val="30"/>
          <w:highlight w:val="none"/>
          <w:lang w:val="en-US" w:eastAsia="zh-CN"/>
        </w:rPr>
        <w:t>小微企业金融服务信息</w:t>
      </w:r>
    </w:p>
    <w:p>
      <w:pPr>
        <w:shd w:val="clear" w:color="auto" w:fill="FFFFFF"/>
        <w:adjustRightInd/>
        <w:snapToGrid/>
        <w:spacing w:after="0" w:line="560" w:lineRule="exact"/>
        <w:ind w:firstLine="600" w:firstLineChars="200"/>
        <w:jc w:val="both"/>
        <w:rPr>
          <w:rFonts w:hint="default" w:ascii="仿宋_GB2312" w:hAnsi="微软雅黑" w:eastAsia="仿宋_GB2312" w:cs="宋体"/>
          <w:color w:val="auto"/>
          <w:sz w:val="30"/>
          <w:szCs w:val="30"/>
          <w:highlight w:val="none"/>
          <w:lang w:val="en-US" w:eastAsia="zh-CN"/>
        </w:rPr>
      </w:pPr>
      <w:r>
        <w:rPr>
          <w:rFonts w:hint="default" w:ascii="仿宋_GB2312" w:hAnsi="微软雅黑" w:eastAsia="仿宋_GB2312" w:cs="宋体"/>
          <w:color w:val="auto"/>
          <w:sz w:val="30"/>
          <w:szCs w:val="30"/>
          <w:highlight w:val="none"/>
          <w:lang w:val="en-US" w:eastAsia="zh-CN"/>
        </w:rPr>
        <w:t>202</w:t>
      </w:r>
      <w:r>
        <w:rPr>
          <w:rFonts w:hint="eastAsia" w:ascii="仿宋_GB2312" w:hAnsi="微软雅黑" w:eastAsia="仿宋_GB2312" w:cs="宋体"/>
          <w:color w:val="auto"/>
          <w:sz w:val="30"/>
          <w:szCs w:val="30"/>
          <w:highlight w:val="none"/>
          <w:lang w:val="en-US" w:eastAsia="zh-CN"/>
        </w:rPr>
        <w:t>2</w:t>
      </w:r>
      <w:r>
        <w:rPr>
          <w:rFonts w:hint="default" w:ascii="仿宋_GB2312" w:hAnsi="微软雅黑" w:eastAsia="仿宋_GB2312" w:cs="宋体"/>
          <w:color w:val="auto"/>
          <w:sz w:val="30"/>
          <w:szCs w:val="30"/>
          <w:highlight w:val="none"/>
          <w:lang w:val="en-US" w:eastAsia="zh-CN"/>
        </w:rPr>
        <w:t>年，</w:t>
      </w:r>
      <w:r>
        <w:rPr>
          <w:rFonts w:hint="eastAsia" w:ascii="仿宋_GB2312" w:hAnsi="微软雅黑" w:eastAsia="仿宋_GB2312" w:cs="宋体"/>
          <w:color w:val="auto"/>
          <w:sz w:val="30"/>
          <w:szCs w:val="30"/>
          <w:highlight w:val="none"/>
          <w:lang w:val="en-US" w:eastAsia="zh-CN"/>
        </w:rPr>
        <w:t>本行</w:t>
      </w:r>
      <w:r>
        <w:rPr>
          <w:rFonts w:hint="default" w:ascii="仿宋_GB2312" w:hAnsi="微软雅黑" w:eastAsia="仿宋_GB2312" w:cs="宋体"/>
          <w:color w:val="auto"/>
          <w:sz w:val="30"/>
          <w:szCs w:val="30"/>
          <w:highlight w:val="none"/>
          <w:lang w:val="en-US" w:eastAsia="zh-CN"/>
        </w:rPr>
        <w:t>继续将小微企业贷款作为投放重点，</w:t>
      </w:r>
      <w:r>
        <w:rPr>
          <w:rFonts w:hint="eastAsia" w:ascii="仿宋_GB2312" w:hAnsi="微软雅黑" w:eastAsia="仿宋_GB2312" w:cs="宋体"/>
          <w:color w:val="auto"/>
          <w:sz w:val="30"/>
          <w:szCs w:val="30"/>
          <w:highlight w:val="none"/>
          <w:lang w:val="en-US" w:eastAsia="zh-CN"/>
        </w:rPr>
        <w:t>全行25家支行和公司业务部、个人业务部和小贷中心负责发放小微企业贷款。</w:t>
      </w:r>
      <w:r>
        <w:rPr>
          <w:rFonts w:hint="default" w:ascii="仿宋_GB2312" w:hAnsi="微软雅黑" w:eastAsia="仿宋_GB2312" w:cs="宋体"/>
          <w:b w:val="0"/>
          <w:bCs w:val="0"/>
          <w:color w:val="auto"/>
          <w:sz w:val="30"/>
          <w:szCs w:val="30"/>
          <w:highlight w:val="none"/>
          <w:lang w:val="en-US" w:eastAsia="zh-CN"/>
        </w:rPr>
        <w:t>全年累计发放小微企业贷款</w:t>
      </w:r>
      <w:r>
        <w:rPr>
          <w:rFonts w:hint="eastAsia" w:ascii="仿宋_GB2312" w:hAnsi="微软雅黑" w:eastAsia="仿宋_GB2312" w:cs="宋体"/>
          <w:b w:val="0"/>
          <w:bCs w:val="0"/>
          <w:color w:val="auto"/>
          <w:sz w:val="30"/>
          <w:szCs w:val="30"/>
          <w:highlight w:val="none"/>
          <w:lang w:val="en-US" w:eastAsia="zh-CN"/>
        </w:rPr>
        <w:t>131.95</w:t>
      </w:r>
      <w:r>
        <w:rPr>
          <w:rFonts w:hint="default" w:ascii="仿宋_GB2312" w:hAnsi="微软雅黑" w:eastAsia="仿宋_GB2312" w:cs="宋体"/>
          <w:b w:val="0"/>
          <w:bCs w:val="0"/>
          <w:color w:val="auto"/>
          <w:sz w:val="30"/>
          <w:szCs w:val="30"/>
          <w:highlight w:val="none"/>
          <w:lang w:val="en-US" w:eastAsia="zh-CN"/>
        </w:rPr>
        <w:t>亿元，年末余额达到</w:t>
      </w:r>
      <w:r>
        <w:rPr>
          <w:rFonts w:hint="eastAsia" w:ascii="仿宋_GB2312" w:hAnsi="微软雅黑" w:eastAsia="仿宋_GB2312" w:cs="宋体"/>
          <w:b w:val="0"/>
          <w:bCs w:val="0"/>
          <w:color w:val="auto"/>
          <w:sz w:val="30"/>
          <w:szCs w:val="30"/>
          <w:highlight w:val="none"/>
          <w:lang w:val="en-US" w:eastAsia="zh-CN"/>
        </w:rPr>
        <w:t>121.85</w:t>
      </w:r>
      <w:r>
        <w:rPr>
          <w:rFonts w:hint="default" w:ascii="仿宋_GB2312" w:hAnsi="微软雅黑" w:eastAsia="仿宋_GB2312" w:cs="宋体"/>
          <w:b w:val="0"/>
          <w:bCs w:val="0"/>
          <w:color w:val="auto"/>
          <w:sz w:val="30"/>
          <w:szCs w:val="30"/>
          <w:highlight w:val="none"/>
          <w:lang w:val="en-US" w:eastAsia="zh-CN"/>
        </w:rPr>
        <w:t>亿元，较年初增长</w:t>
      </w:r>
      <w:r>
        <w:rPr>
          <w:rFonts w:hint="eastAsia" w:ascii="仿宋_GB2312" w:hAnsi="微软雅黑" w:eastAsia="仿宋_GB2312" w:cs="宋体"/>
          <w:b w:val="0"/>
          <w:bCs w:val="0"/>
          <w:color w:val="auto"/>
          <w:sz w:val="30"/>
          <w:szCs w:val="30"/>
          <w:highlight w:val="none"/>
          <w:lang w:val="en-US" w:eastAsia="zh-CN"/>
        </w:rPr>
        <w:t>18.39</w:t>
      </w:r>
      <w:r>
        <w:rPr>
          <w:rFonts w:hint="default" w:ascii="仿宋_GB2312" w:hAnsi="微软雅黑" w:eastAsia="仿宋_GB2312" w:cs="宋体"/>
          <w:b w:val="0"/>
          <w:bCs w:val="0"/>
          <w:color w:val="auto"/>
          <w:sz w:val="30"/>
          <w:szCs w:val="30"/>
          <w:highlight w:val="none"/>
          <w:lang w:val="en-US" w:eastAsia="zh-CN"/>
        </w:rPr>
        <w:t>亿元。</w:t>
      </w:r>
      <w:r>
        <w:rPr>
          <w:rFonts w:hint="default" w:ascii="仿宋_GB2312" w:hAnsi="微软雅黑" w:eastAsia="仿宋_GB2312" w:cs="宋体"/>
          <w:color w:val="auto"/>
          <w:sz w:val="30"/>
          <w:szCs w:val="30"/>
          <w:highlight w:val="none"/>
          <w:lang w:val="en-US" w:eastAsia="zh-CN"/>
        </w:rPr>
        <w:t>其中：累计发放单户授信总额1000万元以下（含）的小微企业贷款</w:t>
      </w:r>
      <w:r>
        <w:rPr>
          <w:rFonts w:hint="eastAsia" w:ascii="仿宋_GB2312" w:hAnsi="微软雅黑" w:eastAsia="仿宋_GB2312" w:cs="宋体"/>
          <w:color w:val="auto"/>
          <w:sz w:val="30"/>
          <w:szCs w:val="30"/>
          <w:highlight w:val="none"/>
          <w:lang w:val="en-US" w:eastAsia="zh-CN"/>
        </w:rPr>
        <w:t>22.81</w:t>
      </w:r>
      <w:r>
        <w:rPr>
          <w:rFonts w:hint="default" w:ascii="仿宋_GB2312" w:hAnsi="微软雅黑" w:eastAsia="仿宋_GB2312" w:cs="宋体"/>
          <w:color w:val="auto"/>
          <w:sz w:val="30"/>
          <w:szCs w:val="30"/>
          <w:highlight w:val="none"/>
          <w:lang w:val="en-US" w:eastAsia="zh-CN"/>
        </w:rPr>
        <w:t>亿元，年末余额达到</w:t>
      </w:r>
      <w:r>
        <w:rPr>
          <w:rFonts w:hint="eastAsia" w:ascii="仿宋_GB2312" w:hAnsi="微软雅黑" w:eastAsia="仿宋_GB2312" w:cs="宋体"/>
          <w:color w:val="auto"/>
          <w:sz w:val="30"/>
          <w:szCs w:val="30"/>
          <w:highlight w:val="none"/>
          <w:lang w:val="en-US" w:eastAsia="zh-CN"/>
        </w:rPr>
        <w:t>20.64</w:t>
      </w:r>
      <w:r>
        <w:rPr>
          <w:rFonts w:hint="default" w:ascii="仿宋_GB2312" w:hAnsi="微软雅黑" w:eastAsia="仿宋_GB2312" w:cs="宋体"/>
          <w:color w:val="auto"/>
          <w:sz w:val="30"/>
          <w:szCs w:val="30"/>
          <w:highlight w:val="none"/>
          <w:lang w:val="en-US" w:eastAsia="zh-CN"/>
        </w:rPr>
        <w:t>亿元，较年初增长</w:t>
      </w:r>
      <w:r>
        <w:rPr>
          <w:rFonts w:hint="eastAsia" w:ascii="仿宋_GB2312" w:hAnsi="微软雅黑" w:eastAsia="仿宋_GB2312" w:cs="宋体"/>
          <w:color w:val="auto"/>
          <w:sz w:val="30"/>
          <w:szCs w:val="30"/>
          <w:highlight w:val="none"/>
          <w:lang w:val="en-US" w:eastAsia="zh-CN"/>
        </w:rPr>
        <w:t>3.17</w:t>
      </w:r>
      <w:r>
        <w:rPr>
          <w:rFonts w:hint="default" w:ascii="仿宋_GB2312" w:hAnsi="微软雅黑" w:eastAsia="仿宋_GB2312" w:cs="宋体"/>
          <w:color w:val="auto"/>
          <w:sz w:val="30"/>
          <w:szCs w:val="30"/>
          <w:highlight w:val="none"/>
          <w:lang w:val="en-US" w:eastAsia="zh-CN"/>
        </w:rPr>
        <w:t>亿元，增速</w:t>
      </w:r>
      <w:r>
        <w:rPr>
          <w:rFonts w:hint="eastAsia" w:ascii="仿宋_GB2312" w:hAnsi="微软雅黑" w:eastAsia="仿宋_GB2312" w:cs="宋体"/>
          <w:color w:val="auto"/>
          <w:sz w:val="30"/>
          <w:szCs w:val="30"/>
          <w:highlight w:val="none"/>
          <w:lang w:val="en-US" w:eastAsia="zh-CN"/>
        </w:rPr>
        <w:t>18.12</w:t>
      </w:r>
      <w:r>
        <w:rPr>
          <w:rFonts w:hint="default" w:ascii="仿宋_GB2312" w:hAnsi="微软雅黑" w:eastAsia="仿宋_GB2312" w:cs="宋体"/>
          <w:color w:val="auto"/>
          <w:sz w:val="30"/>
          <w:szCs w:val="30"/>
          <w:highlight w:val="none"/>
          <w:lang w:val="en-US" w:eastAsia="zh-CN"/>
        </w:rPr>
        <w:t>%，高于各项贷款增速</w:t>
      </w:r>
      <w:r>
        <w:rPr>
          <w:rFonts w:hint="eastAsia" w:ascii="仿宋_GB2312" w:hAnsi="微软雅黑" w:eastAsia="仿宋_GB2312" w:cs="宋体"/>
          <w:color w:val="auto"/>
          <w:sz w:val="30"/>
          <w:szCs w:val="30"/>
          <w:highlight w:val="none"/>
          <w:lang w:val="en-US" w:eastAsia="zh-CN"/>
        </w:rPr>
        <w:t>7.75</w:t>
      </w:r>
      <w:r>
        <w:rPr>
          <w:rFonts w:hint="default" w:ascii="仿宋_GB2312" w:hAnsi="微软雅黑" w:eastAsia="仿宋_GB2312" w:cs="宋体"/>
          <w:color w:val="auto"/>
          <w:sz w:val="30"/>
          <w:szCs w:val="30"/>
          <w:highlight w:val="none"/>
          <w:lang w:val="en-US" w:eastAsia="zh-CN"/>
        </w:rPr>
        <w:t>个百分点；普惠型小微企业贷款户数</w:t>
      </w:r>
      <w:r>
        <w:rPr>
          <w:rFonts w:hint="eastAsia" w:ascii="仿宋_GB2312" w:hAnsi="微软雅黑" w:eastAsia="仿宋_GB2312" w:cs="宋体"/>
          <w:color w:val="auto"/>
          <w:sz w:val="30"/>
          <w:szCs w:val="30"/>
          <w:highlight w:val="none"/>
          <w:lang w:val="en-US" w:eastAsia="zh-CN"/>
        </w:rPr>
        <w:t>1058</w:t>
      </w:r>
      <w:r>
        <w:rPr>
          <w:rFonts w:hint="default" w:ascii="仿宋_GB2312" w:hAnsi="微软雅黑" w:eastAsia="仿宋_GB2312" w:cs="宋体"/>
          <w:color w:val="auto"/>
          <w:sz w:val="30"/>
          <w:szCs w:val="30"/>
          <w:highlight w:val="none"/>
          <w:lang w:val="en-US" w:eastAsia="zh-CN"/>
        </w:rPr>
        <w:t>户，较年初增加</w:t>
      </w:r>
      <w:r>
        <w:rPr>
          <w:rFonts w:hint="eastAsia" w:ascii="仿宋_GB2312" w:hAnsi="微软雅黑" w:eastAsia="仿宋_GB2312" w:cs="宋体"/>
          <w:color w:val="auto"/>
          <w:sz w:val="30"/>
          <w:szCs w:val="30"/>
          <w:highlight w:val="none"/>
          <w:lang w:val="en-US" w:eastAsia="zh-CN"/>
        </w:rPr>
        <w:t>140</w:t>
      </w:r>
      <w:r>
        <w:rPr>
          <w:rFonts w:hint="default" w:ascii="仿宋_GB2312" w:hAnsi="微软雅黑" w:eastAsia="仿宋_GB2312" w:cs="宋体"/>
          <w:color w:val="auto"/>
          <w:sz w:val="30"/>
          <w:szCs w:val="30"/>
          <w:highlight w:val="none"/>
          <w:lang w:val="en-US" w:eastAsia="zh-CN"/>
        </w:rPr>
        <w:t>户，普惠型小微企业信贷实现“两增”目标，加权利率6.</w:t>
      </w:r>
      <w:r>
        <w:rPr>
          <w:rFonts w:hint="eastAsia" w:ascii="仿宋_GB2312" w:hAnsi="微软雅黑" w:eastAsia="仿宋_GB2312" w:cs="宋体"/>
          <w:color w:val="auto"/>
          <w:sz w:val="30"/>
          <w:szCs w:val="30"/>
          <w:highlight w:val="none"/>
          <w:lang w:val="en-US" w:eastAsia="zh-CN"/>
        </w:rPr>
        <w:t>36</w:t>
      </w:r>
      <w:r>
        <w:rPr>
          <w:rFonts w:hint="default" w:ascii="仿宋_GB2312" w:hAnsi="微软雅黑" w:eastAsia="仿宋_GB2312" w:cs="宋体"/>
          <w:color w:val="auto"/>
          <w:sz w:val="30"/>
          <w:szCs w:val="30"/>
          <w:highlight w:val="none"/>
          <w:lang w:val="en-US" w:eastAsia="zh-CN"/>
        </w:rPr>
        <w:t>%。</w:t>
      </w:r>
    </w:p>
    <w:p>
      <w:pPr>
        <w:shd w:val="clear" w:color="auto" w:fill="FFFFFF"/>
        <w:adjustRightInd/>
        <w:snapToGrid/>
        <w:spacing w:before="360" w:after="360"/>
        <w:jc w:val="center"/>
        <w:outlineLvl w:val="0"/>
        <w:rPr>
          <w:rFonts w:ascii="黑体" w:hAnsi="黑体" w:eastAsia="黑体" w:cs="宋体"/>
          <w:b/>
          <w:bCs/>
          <w:color w:val="auto"/>
          <w:kern w:val="36"/>
          <w:sz w:val="36"/>
          <w:szCs w:val="36"/>
          <w:highlight w:val="none"/>
        </w:rPr>
      </w:pPr>
      <w:r>
        <w:rPr>
          <w:rFonts w:hint="eastAsia" w:ascii="仿宋_GB2312" w:hAnsi="微软雅黑" w:eastAsia="仿宋_GB2312" w:cs="宋体"/>
          <w:color w:val="auto"/>
          <w:sz w:val="30"/>
          <w:szCs w:val="30"/>
          <w:highlight w:val="none"/>
          <w:lang w:val="en-US" w:eastAsia="zh-CN"/>
        </w:rPr>
        <w:t xml:space="preserve"> </w:t>
      </w:r>
      <w:r>
        <w:rPr>
          <w:rFonts w:hint="eastAsia" w:ascii="黑体" w:hAnsi="黑体" w:eastAsia="黑体" w:cs="宋体"/>
          <w:b/>
          <w:bCs/>
          <w:color w:val="auto"/>
          <w:kern w:val="36"/>
          <w:sz w:val="36"/>
          <w:szCs w:val="36"/>
          <w:highlight w:val="none"/>
        </w:rPr>
        <w:t>第三部分 风险管理状况</w:t>
      </w:r>
    </w:p>
    <w:p>
      <w:pPr>
        <w:shd w:val="clear" w:color="auto" w:fill="FFFFFF"/>
        <w:adjustRightInd/>
        <w:snapToGrid/>
        <w:spacing w:before="480" w:after="360" w:line="560" w:lineRule="exact"/>
        <w:ind w:firstLine="602" w:firstLineChars="200"/>
        <w:outlineLvl w:val="1"/>
        <w:rPr>
          <w:rFonts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3.1 总体风险管理情况</w:t>
      </w:r>
    </w:p>
    <w:p>
      <w:pPr>
        <w:pStyle w:val="4"/>
        <w:spacing w:before="0" w:beforeAutospacing="0" w:after="0" w:afterAutospacing="0" w:line="56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本行报告期内及未来主要面临信用风险、操作风险、市场风险、流动性风险等。本行把风险管控做为经营管理的关键，全面落实风险责任，守住风险底线，确定的</w:t>
      </w:r>
      <w:r>
        <w:rPr>
          <w:rFonts w:hint="eastAsia" w:ascii="仿宋_GB2312" w:hAnsi="微软雅黑" w:eastAsia="仿宋_GB2312"/>
          <w:color w:val="auto"/>
          <w:sz w:val="30"/>
          <w:szCs w:val="30"/>
          <w:highlight w:val="none"/>
        </w:rPr>
        <w:t>风险管理的目标是在风险和收益之间取得适当的平衡，确保在合理的风险水平下安全、稳健经营。</w:t>
      </w:r>
    </w:p>
    <w:p>
      <w:pPr>
        <w:pStyle w:val="4"/>
        <w:shd w:val="clear" w:color="auto" w:fill="FFFFFF"/>
        <w:spacing w:before="0" w:beforeAutospacing="0" w:after="0" w:afterAutospacing="0" w:line="560" w:lineRule="exact"/>
        <w:ind w:firstLine="600" w:firstLineChars="200"/>
        <w:rPr>
          <w:rFonts w:ascii="仿宋_GB2312" w:hAnsi="微软雅黑" w:eastAsia="仿宋_GB2312"/>
          <w:color w:val="auto"/>
          <w:sz w:val="30"/>
          <w:szCs w:val="30"/>
          <w:highlight w:val="none"/>
        </w:rPr>
      </w:pPr>
      <w:r>
        <w:rPr>
          <w:rFonts w:hint="eastAsia" w:ascii="仿宋_GB2312" w:hAnsi="微软雅黑" w:eastAsia="仿宋_GB2312"/>
          <w:color w:val="auto"/>
          <w:sz w:val="30"/>
          <w:szCs w:val="30"/>
          <w:highlight w:val="none"/>
        </w:rPr>
        <w:t>本行董事会负责制定整体风险管理战略，监督本行风险管理及内部控制系统，评估全行总体风险；下设风险管理委员会，在董事会批准的风险管理政策及权限框架内，负责审议并决策重大风险管理政策，按照业务风险状况和权限进行分级审议。高级管理层根据董事会制定的风险管理战略，制定并执行相应的风险管理政策、制度和程序；合规风险部、计划财务部等作为本行风险管理的主要职能部门，负责各项风险管理的政策和制度的执行；内部审计部门负责对本行的风险管理和控制环境进行独立的审计。</w:t>
      </w:r>
    </w:p>
    <w:p>
      <w:pPr>
        <w:spacing w:after="0" w:line="560" w:lineRule="exact"/>
        <w:ind w:firstLine="594" w:firstLineChars="198"/>
        <w:rPr>
          <w:rFonts w:ascii="仿宋_GB2312" w:hAnsi="微软雅黑" w:eastAsia="仿宋_GB2312"/>
          <w:color w:val="auto"/>
          <w:sz w:val="30"/>
          <w:szCs w:val="30"/>
          <w:highlight w:val="none"/>
        </w:rPr>
      </w:pPr>
      <w:r>
        <w:rPr>
          <w:rFonts w:hint="eastAsia" w:ascii="仿宋_GB2312" w:hAnsi="仿宋" w:eastAsia="仿宋_GB2312" w:cs="宋体"/>
          <w:color w:val="auto"/>
          <w:sz w:val="30"/>
          <w:szCs w:val="30"/>
          <w:highlight w:val="none"/>
        </w:rPr>
        <w:t>本行以推进全面风险管理机制建设为主线，</w:t>
      </w:r>
      <w:r>
        <w:rPr>
          <w:rFonts w:hint="eastAsia" w:ascii="仿宋_GB2312" w:hAnsi="微软雅黑" w:eastAsia="仿宋_GB2312"/>
          <w:color w:val="auto"/>
          <w:sz w:val="30"/>
          <w:szCs w:val="30"/>
          <w:highlight w:val="none"/>
        </w:rPr>
        <w:t>同时建立了案件防控体系，</w:t>
      </w:r>
      <w:r>
        <w:rPr>
          <w:rFonts w:hint="eastAsia" w:ascii="仿宋_GB2312" w:hAnsi="仿宋" w:eastAsia="仿宋_GB2312" w:cs="宋体"/>
          <w:color w:val="auto"/>
          <w:sz w:val="30"/>
          <w:szCs w:val="30"/>
          <w:highlight w:val="none"/>
        </w:rPr>
        <w:t>科学处理风险管理与业务发展的关系，</w:t>
      </w:r>
      <w:r>
        <w:rPr>
          <w:rFonts w:hint="eastAsia" w:ascii="仿宋_GB2312" w:hAnsi="微软雅黑" w:eastAsia="仿宋_GB2312"/>
          <w:color w:val="auto"/>
          <w:sz w:val="30"/>
          <w:szCs w:val="30"/>
          <w:highlight w:val="none"/>
        </w:rPr>
        <w:t>通过持续的风险识别、评估、计量、管理等方法来监控和防范各类风险。</w:t>
      </w:r>
    </w:p>
    <w:p>
      <w:pPr>
        <w:spacing w:after="0" w:line="560" w:lineRule="exact"/>
        <w:ind w:firstLine="594" w:firstLineChars="198"/>
        <w:rPr>
          <w:rFonts w:ascii="仿宋_GB2312" w:hAnsi="黑体" w:eastAsia="仿宋_GB2312" w:cs="宋体"/>
          <w:b/>
          <w:bCs/>
          <w:color w:val="auto"/>
          <w:sz w:val="30"/>
          <w:szCs w:val="30"/>
          <w:highlight w:val="none"/>
        </w:rPr>
      </w:pPr>
      <w:r>
        <w:rPr>
          <w:rFonts w:hint="eastAsia" w:ascii="仿宋_GB2312" w:hAnsi="微软雅黑" w:eastAsia="仿宋_GB2312"/>
          <w:color w:val="auto"/>
          <w:sz w:val="30"/>
          <w:szCs w:val="30"/>
          <w:highlight w:val="none"/>
        </w:rPr>
        <w:t>本行</w:t>
      </w:r>
      <w:r>
        <w:rPr>
          <w:rFonts w:hint="eastAsia" w:ascii="仿宋_GB2312" w:hAnsi="仿宋" w:eastAsia="仿宋_GB2312"/>
          <w:color w:val="auto"/>
          <w:sz w:val="30"/>
          <w:szCs w:val="30"/>
          <w:highlight w:val="none"/>
        </w:rPr>
        <w:t>报告期内，未发生影响本行正常经营的风险事件。</w:t>
      </w:r>
    </w:p>
    <w:p>
      <w:pPr>
        <w:shd w:val="clear" w:color="auto" w:fill="FFFFFF"/>
        <w:adjustRightInd/>
        <w:snapToGrid/>
        <w:spacing w:before="360" w:after="360" w:line="560" w:lineRule="exact"/>
        <w:ind w:firstLine="602" w:firstLineChars="200"/>
        <w:outlineLvl w:val="1"/>
        <w:rPr>
          <w:rFonts w:ascii="黑体" w:hAnsi="黑体" w:eastAsia="黑体" w:cs="宋体"/>
          <w:b/>
          <w:bCs/>
          <w:color w:val="auto"/>
          <w:sz w:val="30"/>
          <w:szCs w:val="30"/>
          <w:highlight w:val="none"/>
        </w:rPr>
      </w:pPr>
      <w:bookmarkStart w:id="46" w:name="_Toc219552571"/>
      <w:bookmarkEnd w:id="46"/>
      <w:bookmarkStart w:id="47" w:name="_Toc203486376"/>
      <w:bookmarkEnd w:id="47"/>
      <w:bookmarkStart w:id="48" w:name="_Toc219553411"/>
      <w:bookmarkEnd w:id="48"/>
      <w:bookmarkStart w:id="49" w:name="_Toc219474570"/>
      <w:bookmarkEnd w:id="49"/>
      <w:r>
        <w:rPr>
          <w:rFonts w:hint="eastAsia" w:ascii="黑体" w:hAnsi="黑体" w:eastAsia="黑体" w:cs="宋体"/>
          <w:b/>
          <w:bCs/>
          <w:color w:val="auto"/>
          <w:sz w:val="30"/>
          <w:szCs w:val="30"/>
          <w:highlight w:val="none"/>
        </w:rPr>
        <w:t>3.2 报告期末主要风险监管指标</w:t>
      </w:r>
    </w:p>
    <w:p>
      <w:pPr>
        <w:shd w:val="clear" w:color="auto" w:fill="FFFFFF"/>
        <w:adjustRightInd/>
        <w:snapToGrid/>
        <w:spacing w:after="0" w:line="560" w:lineRule="exact"/>
        <w:ind w:firstLine="562" w:firstLineChars="200"/>
        <w:jc w:val="center"/>
        <w:rPr>
          <w:rFonts w:ascii="仿宋_GB2312" w:hAnsi="微软雅黑" w:eastAsia="仿宋_GB2312" w:cs="宋体"/>
          <w:b/>
          <w:color w:val="auto"/>
          <w:sz w:val="28"/>
          <w:szCs w:val="28"/>
          <w:highlight w:val="none"/>
        </w:rPr>
      </w:pPr>
      <w:r>
        <w:rPr>
          <w:rFonts w:hint="eastAsia" w:ascii="仿宋_GB2312" w:hAnsi="微软雅黑" w:eastAsia="仿宋_GB2312" w:cs="宋体"/>
          <w:b/>
          <w:color w:val="auto"/>
          <w:sz w:val="28"/>
          <w:szCs w:val="28"/>
          <w:highlight w:val="none"/>
        </w:rPr>
        <w:t>表3-1            主要风险监管指标表                 单位：％</w:t>
      </w:r>
    </w:p>
    <w:tbl>
      <w:tblPr>
        <w:tblStyle w:val="5"/>
        <w:tblW w:w="8484" w:type="dxa"/>
        <w:tblCellSpacing w:w="0" w:type="dxa"/>
        <w:tblInd w:w="0" w:type="dxa"/>
        <w:tblLayout w:type="fixed"/>
        <w:tblCellMar>
          <w:top w:w="0" w:type="dxa"/>
          <w:left w:w="0" w:type="dxa"/>
          <w:bottom w:w="0" w:type="dxa"/>
          <w:right w:w="0" w:type="dxa"/>
        </w:tblCellMar>
      </w:tblPr>
      <w:tblGrid>
        <w:gridCol w:w="2955"/>
        <w:gridCol w:w="1382"/>
        <w:gridCol w:w="1453"/>
        <w:gridCol w:w="1701"/>
        <w:gridCol w:w="993"/>
      </w:tblGrid>
      <w:tr>
        <w:tblPrEx>
          <w:tblCellMar>
            <w:top w:w="0" w:type="dxa"/>
            <w:left w:w="0" w:type="dxa"/>
            <w:bottom w:w="0" w:type="dxa"/>
            <w:right w:w="0" w:type="dxa"/>
          </w:tblCellMar>
        </w:tblPrEx>
        <w:trPr>
          <w:trHeight w:val="496" w:hRule="atLeast"/>
          <w:tblCellSpacing w:w="0" w:type="dxa"/>
        </w:trPr>
        <w:tc>
          <w:tcPr>
            <w:tcW w:w="29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p>
        </w:tc>
        <w:tc>
          <w:tcPr>
            <w:tcW w:w="13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监管标准</w:t>
            </w:r>
          </w:p>
        </w:tc>
        <w:tc>
          <w:tcPr>
            <w:tcW w:w="145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8"/>
                <w:szCs w:val="28"/>
                <w:highlight w:val="yellow"/>
                <w:lang w:val="en-US" w:eastAsia="zh-CN"/>
              </w:rPr>
            </w:pPr>
            <w:r>
              <w:rPr>
                <w:rFonts w:hint="eastAsia" w:ascii="仿宋_GB2312" w:hAnsi="宋体" w:eastAsia="仿宋_GB2312" w:cs="仿宋_GB2312"/>
                <w:i w:val="0"/>
                <w:color w:val="000000"/>
                <w:kern w:val="0"/>
                <w:sz w:val="28"/>
                <w:szCs w:val="28"/>
                <w:highlight w:val="yellow"/>
                <w:u w:val="none"/>
                <w:lang w:val="en-US" w:eastAsia="zh-CN" w:bidi="ar"/>
              </w:rPr>
              <w:t>2022年末</w:t>
            </w:r>
          </w:p>
        </w:tc>
        <w:tc>
          <w:tcPr>
            <w:tcW w:w="1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2021年末</w:t>
            </w:r>
          </w:p>
        </w:tc>
        <w:tc>
          <w:tcPr>
            <w:tcW w:w="993" w:type="dxa"/>
            <w:tcBorders>
              <w:top w:val="single" w:color="auto" w:sz="6" w:space="0"/>
              <w:left w:val="nil"/>
              <w:bottom w:val="single" w:color="auto" w:sz="6" w:space="0"/>
              <w:right w:val="single" w:color="auto" w:sz="6" w:space="0"/>
            </w:tcBorders>
            <w:vAlign w:val="bottom"/>
          </w:tcPr>
          <w:p>
            <w:pPr>
              <w:keepNext w:val="0"/>
              <w:keepLines w:val="0"/>
              <w:widowControl/>
              <w:suppressLineNumbers w:val="0"/>
              <w:jc w:val="center"/>
              <w:textAlignment w:val="bottom"/>
              <w:rPr>
                <w:rFonts w:ascii="仿宋_GB2312" w:hAnsi="宋体" w:eastAsia="仿宋_GB2312" w:cs="宋体"/>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增减</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资本充足率</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≥10.5%</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10.61</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11.16</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-0.55</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核心一级资本充足率</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20"/>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≥8.5%</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9.45</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10</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-0.55</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拨备覆盖率</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20"/>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≥150%</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154.2</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130.43</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23.77</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贷款拨备率</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20"/>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≥2.5%</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6.55</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5.96</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0.59</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流动性比率</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160"/>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≥25%</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83.42</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76.4</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7.02</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不良贷款率</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300"/>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≤5%</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4.24</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4.57</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-0.33</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存贷比</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160"/>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≤75%</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60.93</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61.62</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-0.69</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单一客户贷款集中度</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140"/>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≤10%</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8.53</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7.22</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1.31</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单一集团客户授信集中度</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after="0"/>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≤15%</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9.57</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7.22</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2.35</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r>
              <w:rPr>
                <w:rFonts w:hint="eastAsia" w:ascii="仿宋_GB2312" w:hAnsi="宋体" w:eastAsia="仿宋_GB2312" w:cs="宋体"/>
                <w:color w:val="auto"/>
                <w:sz w:val="28"/>
                <w:szCs w:val="28"/>
                <w:highlight w:val="yellow"/>
              </w:rPr>
              <w:t>全部关联度</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140"/>
              <w:jc w:val="center"/>
              <w:rPr>
                <w:rFonts w:ascii="仿宋_GB2312" w:hAnsi="宋体" w:eastAsia="仿宋_GB2312" w:cs="宋体"/>
                <w:color w:val="auto"/>
                <w:sz w:val="24"/>
                <w:szCs w:val="24"/>
                <w:highlight w:val="yellow"/>
              </w:rPr>
            </w:pPr>
            <w:r>
              <w:rPr>
                <w:rFonts w:hint="eastAsia" w:ascii="仿宋_GB2312" w:hAnsi="宋体" w:eastAsia="仿宋_GB2312" w:cs="宋体"/>
                <w:color w:val="auto"/>
                <w:sz w:val="24"/>
                <w:szCs w:val="24"/>
                <w:highlight w:val="yellow"/>
              </w:rPr>
              <w:t>≤50%</w:t>
            </w: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41.24</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28.97</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12.27</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p>
        </w:tc>
        <w:tc>
          <w:tcPr>
            <w:tcW w:w="145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yellow"/>
              </w:rPr>
            </w:pPr>
          </w:p>
        </w:tc>
        <w:tc>
          <w:tcPr>
            <w:tcW w:w="993" w:type="dxa"/>
            <w:tcBorders>
              <w:top w:val="nil"/>
              <w:left w:val="nil"/>
              <w:bottom w:val="single" w:color="auto" w:sz="6" w:space="0"/>
              <w:right w:val="single" w:color="auto" w:sz="6" w:space="0"/>
            </w:tcBorders>
            <w:shd w:val="clear" w:color="auto" w:fill="auto"/>
          </w:tcPr>
          <w:p>
            <w:pPr>
              <w:adjustRightInd/>
              <w:snapToGrid/>
              <w:spacing w:before="100" w:beforeAutospacing="1" w:after="100" w:afterAutospacing="1"/>
              <w:jc w:val="center"/>
              <w:rPr>
                <w:rFonts w:ascii="仿宋_GB2312" w:hAnsi="宋体" w:eastAsia="仿宋_GB2312" w:cs="宋体"/>
                <w:color w:val="auto"/>
                <w:sz w:val="28"/>
                <w:szCs w:val="28"/>
                <w:highlight w:val="yellow"/>
              </w:rPr>
            </w:pPr>
          </w:p>
        </w:tc>
      </w:tr>
    </w:tbl>
    <w:p>
      <w:pPr>
        <w:shd w:val="clear" w:color="auto" w:fill="FFFFFF"/>
        <w:adjustRightInd/>
        <w:snapToGrid/>
        <w:spacing w:after="0" w:line="560" w:lineRule="exact"/>
        <w:ind w:firstLine="601"/>
        <w:rPr>
          <w:rFonts w:ascii="仿宋_GB2312" w:hAnsi="微软雅黑" w:eastAsia="仿宋_GB2312" w:cs="宋体"/>
          <w:color w:val="auto"/>
          <w:sz w:val="30"/>
          <w:szCs w:val="30"/>
          <w:highlight w:val="none"/>
        </w:rPr>
      </w:pPr>
    </w:p>
    <w:p>
      <w:pPr>
        <w:shd w:val="clear" w:color="auto" w:fill="FFFFFF"/>
        <w:adjustRightInd/>
        <w:snapToGrid/>
        <w:spacing w:before="100" w:beforeAutospacing="1" w:after="100" w:afterAutospacing="1" w:line="585" w:lineRule="atLeast"/>
        <w:ind w:firstLine="562" w:firstLineChars="200"/>
        <w:rPr>
          <w:rFonts w:ascii="仿宋_GB2312" w:hAnsi="微软雅黑" w:eastAsia="仿宋_GB2312" w:cs="宋体"/>
          <w:b/>
          <w:color w:val="auto"/>
          <w:sz w:val="28"/>
          <w:szCs w:val="28"/>
          <w:highlight w:val="none"/>
        </w:rPr>
      </w:pPr>
      <w:r>
        <w:rPr>
          <w:rFonts w:hint="eastAsia" w:ascii="仿宋_GB2312" w:hAnsi="微软雅黑" w:eastAsia="仿宋_GB2312" w:cs="宋体"/>
          <w:b/>
          <w:color w:val="auto"/>
          <w:sz w:val="28"/>
          <w:szCs w:val="28"/>
          <w:highlight w:val="none"/>
        </w:rPr>
        <w:t>表3-2                  风险拨备提取情况表     　        单位：万元</w:t>
      </w:r>
    </w:p>
    <w:tbl>
      <w:tblPr>
        <w:tblStyle w:val="5"/>
        <w:tblW w:w="8499" w:type="dxa"/>
        <w:tblCellSpacing w:w="0" w:type="dxa"/>
        <w:tblInd w:w="0" w:type="dxa"/>
        <w:tblLayout w:type="fixed"/>
        <w:tblCellMar>
          <w:top w:w="0" w:type="dxa"/>
          <w:left w:w="0" w:type="dxa"/>
          <w:bottom w:w="0" w:type="dxa"/>
          <w:right w:w="0" w:type="dxa"/>
        </w:tblCellMar>
      </w:tblPr>
      <w:tblGrid>
        <w:gridCol w:w="2970"/>
        <w:gridCol w:w="2835"/>
        <w:gridCol w:w="2694"/>
      </w:tblGrid>
      <w:tr>
        <w:tblPrEx>
          <w:tblCellMar>
            <w:top w:w="0" w:type="dxa"/>
            <w:left w:w="0" w:type="dxa"/>
            <w:bottom w:w="0" w:type="dxa"/>
            <w:right w:w="0" w:type="dxa"/>
          </w:tblCellMar>
        </w:tblPrEx>
        <w:trPr>
          <w:trHeight w:val="300" w:hRule="atLeast"/>
          <w:tblCellSpacing w:w="0" w:type="dxa"/>
        </w:trPr>
        <w:tc>
          <w:tcPr>
            <w:tcW w:w="2970" w:type="dxa"/>
            <w:tcBorders>
              <w:top w:val="single" w:color="auto" w:sz="12" w:space="0"/>
              <w:left w:val="single" w:color="auto" w:sz="12" w:space="0"/>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before="100" w:beforeAutospacing="1" w:after="100" w:afterAutospacing="1"/>
              <w:jc w:val="center"/>
              <w:rPr>
                <w:rFonts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rPr>
              <w:t>指   标</w:t>
            </w:r>
          </w:p>
        </w:tc>
        <w:tc>
          <w:tcPr>
            <w:tcW w:w="2835" w:type="dxa"/>
            <w:tcBorders>
              <w:top w:val="single" w:color="auto" w:sz="12" w:space="0"/>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before="100" w:beforeAutospacing="1" w:after="100" w:afterAutospacing="1"/>
              <w:jc w:val="center"/>
              <w:rPr>
                <w:rFonts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rPr>
              <w:t>20</w:t>
            </w:r>
            <w:r>
              <w:rPr>
                <w:rFonts w:hint="eastAsia" w:ascii="仿宋_GB2312" w:hAnsi="仿宋" w:eastAsia="仿宋_GB2312" w:cs="宋体"/>
                <w:color w:val="auto"/>
                <w:sz w:val="28"/>
                <w:szCs w:val="28"/>
                <w:highlight w:val="none"/>
                <w:lang w:val="en-US" w:eastAsia="zh-CN"/>
              </w:rPr>
              <w:t>21</w:t>
            </w:r>
            <w:r>
              <w:rPr>
                <w:rFonts w:hint="eastAsia" w:ascii="仿宋_GB2312" w:hAnsi="仿宋" w:eastAsia="仿宋_GB2312" w:cs="宋体"/>
                <w:color w:val="auto"/>
                <w:sz w:val="28"/>
                <w:szCs w:val="28"/>
                <w:highlight w:val="none"/>
              </w:rPr>
              <w:t>年度提取数</w:t>
            </w:r>
          </w:p>
        </w:tc>
        <w:tc>
          <w:tcPr>
            <w:tcW w:w="2694" w:type="dxa"/>
            <w:tcBorders>
              <w:top w:val="single" w:color="auto" w:sz="12" w:space="0"/>
              <w:left w:val="nil"/>
              <w:bottom w:val="single" w:color="auto" w:sz="6" w:space="0"/>
              <w:right w:val="single" w:color="auto" w:sz="12" w:space="0"/>
            </w:tcBorders>
            <w:shd w:val="clear" w:color="auto" w:fill="auto"/>
            <w:tcMar>
              <w:top w:w="0" w:type="dxa"/>
              <w:left w:w="105" w:type="dxa"/>
              <w:bottom w:w="0" w:type="dxa"/>
              <w:right w:w="105" w:type="dxa"/>
            </w:tcMar>
          </w:tcPr>
          <w:p>
            <w:pPr>
              <w:adjustRightInd/>
              <w:snapToGrid/>
              <w:spacing w:before="100" w:beforeAutospacing="1" w:after="100" w:afterAutospacing="1"/>
              <w:jc w:val="center"/>
              <w:rPr>
                <w:rFonts w:ascii="仿宋_GB2312" w:hAnsi="仿宋" w:eastAsia="仿宋_GB2312" w:cs="宋体"/>
                <w:color w:val="auto"/>
                <w:sz w:val="28"/>
                <w:szCs w:val="28"/>
                <w:highlight w:val="none"/>
              </w:rPr>
            </w:pPr>
            <w:r>
              <w:rPr>
                <w:rFonts w:hint="eastAsia" w:ascii="仿宋_GB2312" w:hAnsi="仿宋" w:eastAsia="仿宋_GB2312" w:cs="宋体"/>
                <w:color w:val="auto"/>
                <w:sz w:val="28"/>
                <w:szCs w:val="28"/>
                <w:highlight w:val="none"/>
              </w:rPr>
              <w:t>20</w:t>
            </w:r>
            <w:r>
              <w:rPr>
                <w:rFonts w:hint="eastAsia" w:ascii="仿宋_GB2312" w:hAnsi="仿宋" w:eastAsia="仿宋_GB2312" w:cs="宋体"/>
                <w:color w:val="auto"/>
                <w:sz w:val="28"/>
                <w:szCs w:val="28"/>
                <w:highlight w:val="none"/>
                <w:lang w:val="en-US" w:eastAsia="zh-CN"/>
              </w:rPr>
              <w:t>21</w:t>
            </w:r>
            <w:r>
              <w:rPr>
                <w:rFonts w:hint="eastAsia" w:ascii="仿宋_GB2312" w:hAnsi="仿宋" w:eastAsia="仿宋_GB2312" w:cs="宋体"/>
                <w:color w:val="auto"/>
                <w:sz w:val="28"/>
                <w:szCs w:val="28"/>
                <w:highlight w:val="none"/>
              </w:rPr>
              <w:t>年末余额</w:t>
            </w:r>
          </w:p>
        </w:tc>
      </w:tr>
      <w:tr>
        <w:tblPrEx>
          <w:tblCellMar>
            <w:top w:w="0" w:type="dxa"/>
            <w:left w:w="0" w:type="dxa"/>
            <w:bottom w:w="0" w:type="dxa"/>
            <w:right w:w="0" w:type="dxa"/>
          </w:tblCellMar>
        </w:tblPrEx>
        <w:trPr>
          <w:trHeight w:val="300" w:hRule="atLeast"/>
          <w:tblCellSpacing w:w="0" w:type="dxa"/>
        </w:trPr>
        <w:tc>
          <w:tcPr>
            <w:tcW w:w="2970" w:type="dxa"/>
            <w:tcBorders>
              <w:top w:val="nil"/>
              <w:left w:val="single" w:color="auto" w:sz="12" w:space="0"/>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before="100" w:beforeAutospacing="1" w:after="100" w:afterAutospacing="1"/>
              <w:jc w:val="center"/>
              <w:rPr>
                <w:rFonts w:ascii="仿宋_GB2312" w:hAnsi="仿宋" w:eastAsia="仿宋_GB2312" w:cs="宋体"/>
                <w:color w:val="auto"/>
                <w:sz w:val="28"/>
                <w:szCs w:val="28"/>
                <w:highlight w:val="none"/>
              </w:rPr>
            </w:pPr>
            <w:r>
              <w:rPr>
                <w:rFonts w:hint="eastAsia" w:ascii="仿宋_GB2312" w:hAnsi="仿宋" w:eastAsia="仿宋_GB2312" w:cs="宋体"/>
                <w:bCs/>
                <w:color w:val="auto"/>
                <w:sz w:val="28"/>
                <w:szCs w:val="28"/>
                <w:highlight w:val="none"/>
              </w:rPr>
              <w:t>贷款损失准备</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adjustRightInd/>
              <w:snapToGrid/>
              <w:spacing w:after="0"/>
              <w:ind w:right="480"/>
              <w:jc w:val="right"/>
              <w:rPr>
                <w:rFonts w:hint="default" w:ascii="仿宋_GB2312" w:hAnsi="仿宋" w:eastAsia="仿宋_GB2312" w:cs="宋体"/>
                <w:color w:val="auto"/>
                <w:sz w:val="28"/>
                <w:szCs w:val="28"/>
                <w:highlight w:val="none"/>
                <w:lang w:val="en-US" w:eastAsia="zh-CN"/>
              </w:rPr>
            </w:pPr>
            <w:r>
              <w:rPr>
                <w:rFonts w:hint="eastAsia" w:ascii="仿宋_GB2312" w:eastAsia="仿宋_GB2312"/>
                <w:color w:val="auto"/>
                <w:sz w:val="30"/>
                <w:szCs w:val="30"/>
                <w:highlight w:val="none"/>
                <w:lang w:val="en-US" w:eastAsia="zh-CN"/>
              </w:rPr>
              <w:t>21680.67</w:t>
            </w:r>
          </w:p>
        </w:tc>
        <w:tc>
          <w:tcPr>
            <w:tcW w:w="2694" w:type="dxa"/>
            <w:tcBorders>
              <w:top w:val="nil"/>
              <w:left w:val="nil"/>
              <w:bottom w:val="single" w:color="auto" w:sz="6" w:space="0"/>
              <w:right w:val="single" w:color="auto" w:sz="12" w:space="0"/>
            </w:tcBorders>
            <w:shd w:val="clear" w:color="auto" w:fill="auto"/>
            <w:tcMar>
              <w:top w:w="0" w:type="dxa"/>
              <w:left w:w="105" w:type="dxa"/>
              <w:bottom w:w="0" w:type="dxa"/>
              <w:right w:w="105" w:type="dxa"/>
            </w:tcMar>
            <w:vAlign w:val="center"/>
          </w:tcPr>
          <w:p>
            <w:pPr>
              <w:adjustRightInd/>
              <w:snapToGrid/>
              <w:spacing w:after="0"/>
              <w:ind w:right="480"/>
              <w:jc w:val="right"/>
              <w:rPr>
                <w:rFonts w:hint="default" w:ascii="仿宋_GB2312" w:hAnsi="仿宋" w:eastAsia="仿宋_GB2312" w:cs="宋体"/>
                <w:color w:val="auto"/>
                <w:sz w:val="28"/>
                <w:szCs w:val="28"/>
                <w:highlight w:val="none"/>
                <w:lang w:val="en-US" w:eastAsia="zh-CN"/>
              </w:rPr>
            </w:pPr>
            <w:r>
              <w:rPr>
                <w:rFonts w:hint="eastAsia" w:ascii="仿宋_GB2312" w:hAnsi="仿宋" w:eastAsia="仿宋_GB2312" w:cs="宋体"/>
                <w:color w:val="auto"/>
                <w:sz w:val="28"/>
                <w:szCs w:val="28"/>
                <w:highlight w:val="none"/>
                <w:lang w:val="en-US" w:eastAsia="zh-CN"/>
              </w:rPr>
              <w:t>93845.40</w:t>
            </w:r>
          </w:p>
        </w:tc>
      </w:tr>
    </w:tbl>
    <w:p>
      <w:pPr>
        <w:shd w:val="clear" w:color="auto" w:fill="FFFFFF"/>
        <w:adjustRightInd/>
        <w:snapToGrid/>
        <w:spacing w:beforeLines="100" w:afterLines="50"/>
        <w:ind w:firstLine="602" w:firstLineChars="200"/>
        <w:rPr>
          <w:rFonts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3.3 报告期末贷款情况</w:t>
      </w:r>
    </w:p>
    <w:p>
      <w:pPr>
        <w:spacing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3.3.1  贷款主要行业分布</w:t>
      </w:r>
    </w:p>
    <w:p>
      <w:pPr>
        <w:shd w:val="clear" w:color="auto"/>
        <w:adjustRightInd/>
        <w:snapToGrid/>
        <w:spacing w:before="100" w:beforeAutospacing="1" w:after="100" w:afterAutospacing="1"/>
        <w:ind w:firstLine="600"/>
        <w:rPr>
          <w:rFonts w:ascii="仿宋_GB2312" w:hAnsi="微软雅黑" w:eastAsia="仿宋_GB2312" w:cs="宋体"/>
          <w:b/>
          <w:color w:val="auto"/>
          <w:sz w:val="28"/>
          <w:szCs w:val="28"/>
          <w:highlight w:val="none"/>
        </w:rPr>
      </w:pPr>
      <w:r>
        <w:rPr>
          <w:rFonts w:hint="eastAsia" w:ascii="仿宋_GB2312" w:hAnsi="微软雅黑" w:eastAsia="仿宋_GB2312" w:cs="宋体"/>
          <w:b/>
          <w:color w:val="auto"/>
          <w:sz w:val="28"/>
          <w:szCs w:val="28"/>
          <w:highlight w:val="none"/>
        </w:rPr>
        <w:t>表3－3　　 贷款行业分布情况表     单位：万元、％</w:t>
      </w:r>
    </w:p>
    <w:tbl>
      <w:tblPr>
        <w:tblStyle w:val="5"/>
        <w:tblW w:w="8804" w:type="dxa"/>
        <w:tblInd w:w="93" w:type="dxa"/>
        <w:tblLayout w:type="fixed"/>
        <w:tblCellMar>
          <w:top w:w="0" w:type="dxa"/>
          <w:left w:w="108" w:type="dxa"/>
          <w:bottom w:w="0" w:type="dxa"/>
          <w:right w:w="108" w:type="dxa"/>
        </w:tblCellMar>
      </w:tblPr>
      <w:tblGrid>
        <w:gridCol w:w="2850"/>
        <w:gridCol w:w="1488"/>
        <w:gridCol w:w="1489"/>
        <w:gridCol w:w="1488"/>
        <w:gridCol w:w="1489"/>
      </w:tblGrid>
      <w:tr>
        <w:tblPrEx>
          <w:tblCellMar>
            <w:top w:w="0" w:type="dxa"/>
            <w:left w:w="108" w:type="dxa"/>
            <w:bottom w:w="0" w:type="dxa"/>
            <w:right w:w="108" w:type="dxa"/>
          </w:tblCellMar>
        </w:tblPrEx>
        <w:trPr>
          <w:trHeight w:val="1140" w:hRule="atLeast"/>
        </w:trPr>
        <w:tc>
          <w:tcPr>
            <w:tcW w:w="2850" w:type="dxa"/>
            <w:tcBorders>
              <w:top w:val="single" w:color="auto" w:sz="4" w:space="0"/>
              <w:left w:val="single" w:color="auto" w:sz="4" w:space="0"/>
              <w:bottom w:val="single" w:color="auto" w:sz="4" w:space="0"/>
              <w:right w:val="single" w:color="auto" w:sz="4" w:space="0"/>
            </w:tcBorders>
            <w:vAlign w:val="center"/>
          </w:tcPr>
          <w:p>
            <w:pPr>
              <w:shd w:val="clear"/>
              <w:adjustRightInd/>
              <w:snapToGrid/>
              <w:spacing w:after="0"/>
              <w:jc w:val="center"/>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行业种类</w:t>
            </w:r>
          </w:p>
        </w:tc>
        <w:tc>
          <w:tcPr>
            <w:tcW w:w="148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2022年末余额</w:t>
            </w:r>
          </w:p>
        </w:tc>
        <w:tc>
          <w:tcPr>
            <w:tcW w:w="148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2021年末余额</w:t>
            </w:r>
          </w:p>
        </w:tc>
        <w:tc>
          <w:tcPr>
            <w:tcW w:w="148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报告期占比</w:t>
            </w:r>
          </w:p>
        </w:tc>
        <w:tc>
          <w:tcPr>
            <w:tcW w:w="148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8"/>
                <w:szCs w:val="28"/>
                <w:highlight w:val="yellow"/>
              </w:rPr>
            </w:pPr>
            <w:r>
              <w:rPr>
                <w:rFonts w:hint="eastAsia" w:ascii="仿宋_GB2312" w:hAnsi="宋体" w:eastAsia="仿宋_GB2312" w:cs="仿宋_GB2312"/>
                <w:i w:val="0"/>
                <w:color w:val="000000"/>
                <w:kern w:val="0"/>
                <w:sz w:val="28"/>
                <w:szCs w:val="28"/>
                <w:highlight w:val="yellow"/>
                <w:u w:val="none"/>
                <w:lang w:val="en-US" w:eastAsia="zh-CN" w:bidi="ar"/>
              </w:rPr>
              <w:t>比上期增减</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A.农、林、牧、渔业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30913.13</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28879</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1.78%</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2034.13</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B.采矿业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8774.33</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10274</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0.50%</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-1499.67</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C.制造业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379478.92</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405040</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21.82%</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-25561.08</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D.</w:t>
            </w:r>
            <w:r>
              <w:rPr>
                <w:rFonts w:hint="eastAsia" w:ascii="仿宋_GB2312" w:hAnsi="仿宋" w:eastAsia="仿宋_GB2312" w:cs="Tahoma"/>
                <w:color w:val="auto"/>
                <w:sz w:val="21"/>
                <w:szCs w:val="21"/>
                <w:highlight w:val="yellow"/>
              </w:rPr>
              <w:t>电力、热力、燃气及水的生产和供应</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18982.55</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18180</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1.09%</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802.55</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E.建筑业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88686.77</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83070</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5.10%</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5616.77</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F.批发和零售业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723316.85</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625335</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41.60%</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97981.85</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G.</w:t>
            </w:r>
            <w:r>
              <w:rPr>
                <w:rFonts w:hint="eastAsia" w:ascii="仿宋_GB2312" w:hAnsi="仿宋" w:eastAsia="仿宋_GB2312" w:cs="Tahoma"/>
                <w:color w:val="auto"/>
                <w:sz w:val="21"/>
                <w:szCs w:val="21"/>
                <w:highlight w:val="yellow"/>
              </w:rPr>
              <w:t>交通运输、仓储和邮政业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14055.57</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6633</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0.81%</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7422.57</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H.住宿和餐饮业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12052.7</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14990</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0.69%</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-2937.3</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I.</w:t>
            </w:r>
            <w:r>
              <w:rPr>
                <w:rFonts w:hint="eastAsia" w:ascii="仿宋_GB2312" w:hAnsi="仿宋" w:eastAsia="仿宋_GB2312" w:cs="Tahoma"/>
                <w:color w:val="auto"/>
                <w:sz w:val="21"/>
                <w:szCs w:val="21"/>
                <w:highlight w:val="yellow"/>
              </w:rPr>
              <w:t>信息传输、软件和信息技术服务业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417</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438</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0.02%</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-21</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K.房地产业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51623.69</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46966</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2.97%</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4657.69</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L.</w:t>
            </w:r>
            <w:r>
              <w:rPr>
                <w:rFonts w:hint="eastAsia" w:ascii="仿宋_GB2312" w:hAnsi="仿宋" w:eastAsia="仿宋_GB2312" w:cs="Tahoma"/>
                <w:color w:val="auto"/>
                <w:sz w:val="24"/>
                <w:szCs w:val="24"/>
                <w:highlight w:val="yellow"/>
              </w:rPr>
              <w:t>租赁和商务及服务业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17167.09</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17809</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0.99%</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-641.91</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M.</w:t>
            </w:r>
            <w:r>
              <w:rPr>
                <w:rFonts w:ascii="仿宋_GB2312" w:hAnsi="仿宋" w:eastAsia="仿宋_GB2312" w:cs="Tahoma"/>
                <w:color w:val="auto"/>
                <w:sz w:val="21"/>
                <w:szCs w:val="21"/>
                <w:highlight w:val="yellow"/>
              </w:rPr>
              <w:t>科学研究和技术服务业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5499</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3530</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0.32%</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1969</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N.</w:t>
            </w:r>
            <w:r>
              <w:rPr>
                <w:rFonts w:hint="eastAsia" w:ascii="仿宋_GB2312" w:hAnsi="仿宋" w:eastAsia="仿宋_GB2312" w:cs="Tahoma"/>
                <w:color w:val="auto"/>
                <w:sz w:val="18"/>
                <w:szCs w:val="18"/>
                <w:highlight w:val="yellow"/>
              </w:rPr>
              <w:t>水利、环境和公共设施管理业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5039.9</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4030</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0.29%</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1009.9</w:t>
            </w:r>
          </w:p>
        </w:tc>
      </w:tr>
      <w:tr>
        <w:tblPrEx>
          <w:tblCellMar>
            <w:top w:w="0" w:type="dxa"/>
            <w:left w:w="108" w:type="dxa"/>
            <w:bottom w:w="0" w:type="dxa"/>
            <w:right w:w="108" w:type="dxa"/>
          </w:tblCellMar>
        </w:tblPrEx>
        <w:trPr>
          <w:trHeight w:val="542"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O.</w:t>
            </w:r>
            <w:r>
              <w:rPr>
                <w:rFonts w:ascii="仿宋_GB2312" w:hAnsi="仿宋" w:eastAsia="仿宋_GB2312" w:cs="Tahoma"/>
                <w:color w:val="auto"/>
                <w:sz w:val="18"/>
                <w:szCs w:val="18"/>
                <w:highlight w:val="yellow"/>
              </w:rPr>
              <w:t>居民服务、修理和其他服务业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11625.12</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10465</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0.67%</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1160.12</w:t>
            </w:r>
          </w:p>
        </w:tc>
      </w:tr>
      <w:tr>
        <w:tblPrEx>
          <w:tblCellMar>
            <w:top w:w="0" w:type="dxa"/>
            <w:left w:w="108" w:type="dxa"/>
            <w:bottom w:w="0" w:type="dxa"/>
            <w:right w:w="108" w:type="dxa"/>
          </w:tblCellMar>
        </w:tblPrEx>
        <w:trPr>
          <w:trHeight w:val="393"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P.教育业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0</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0.00%</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w:t>
            </w:r>
          </w:p>
        </w:tc>
      </w:tr>
      <w:tr>
        <w:tblPrEx>
          <w:tblCellMar>
            <w:top w:w="0" w:type="dxa"/>
            <w:left w:w="108" w:type="dxa"/>
            <w:bottom w:w="0" w:type="dxa"/>
            <w:right w:w="108" w:type="dxa"/>
          </w:tblCellMar>
        </w:tblPrEx>
        <w:trPr>
          <w:trHeight w:val="413"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Q.卫生和社会工作</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2015</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15</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0.12%</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2000</w:t>
            </w:r>
          </w:p>
        </w:tc>
      </w:tr>
      <w:tr>
        <w:tblPrEx>
          <w:tblCellMar>
            <w:top w:w="0" w:type="dxa"/>
            <w:left w:w="108" w:type="dxa"/>
            <w:bottom w:w="0" w:type="dxa"/>
            <w:right w:w="108" w:type="dxa"/>
          </w:tblCellMar>
        </w:tblPrEx>
        <w:trPr>
          <w:trHeight w:val="404"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rPr>
                <w:rFonts w:ascii="仿宋_GB2312" w:hAnsi="仿宋" w:eastAsia="仿宋_GB2312" w:cs="Tahoma"/>
                <w:color w:val="auto"/>
                <w:sz w:val="24"/>
                <w:szCs w:val="24"/>
                <w:highlight w:val="yellow"/>
              </w:rPr>
            </w:pPr>
            <w:r>
              <w:rPr>
                <w:rFonts w:hint="eastAsia" w:ascii="仿宋_GB2312" w:hAnsi="仿宋" w:eastAsia="仿宋_GB2312" w:cs="Tahoma"/>
                <w:color w:val="auto"/>
                <w:sz w:val="28"/>
                <w:szCs w:val="28"/>
                <w:highlight w:val="yellow"/>
              </w:rPr>
              <w:t>R.</w:t>
            </w:r>
            <w:r>
              <w:rPr>
                <w:rFonts w:ascii="仿宋_GB2312" w:hAnsi="仿宋" w:eastAsia="仿宋_GB2312" w:cs="Tahoma"/>
                <w:color w:val="auto"/>
                <w:sz w:val="24"/>
                <w:szCs w:val="24"/>
                <w:highlight w:val="yellow"/>
              </w:rPr>
              <w:t>文化、体育和娱乐业</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8313</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8058</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0.48%</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255</w:t>
            </w:r>
          </w:p>
        </w:tc>
      </w:tr>
      <w:tr>
        <w:tblPrEx>
          <w:tblCellMar>
            <w:top w:w="0" w:type="dxa"/>
            <w:left w:w="108" w:type="dxa"/>
            <w:bottom w:w="0" w:type="dxa"/>
            <w:right w:w="108" w:type="dxa"/>
          </w:tblCellMar>
        </w:tblPrEx>
        <w:trPr>
          <w:trHeight w:val="425" w:hRule="atLeast"/>
        </w:trPr>
        <w:tc>
          <w:tcPr>
            <w:tcW w:w="285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yellow"/>
              </w:rPr>
            </w:pPr>
            <w:r>
              <w:rPr>
                <w:rFonts w:hint="eastAsia" w:ascii="仿宋_GB2312" w:hAnsi="仿宋" w:eastAsia="仿宋_GB2312" w:cs="Tahoma"/>
                <w:color w:val="auto"/>
                <w:sz w:val="28"/>
                <w:szCs w:val="28"/>
                <w:highlight w:val="yellow"/>
              </w:rPr>
              <w:t>贴现(转贴现)</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255349.43</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仿宋" w:eastAsia="仿宋_GB2312" w:cs="Tahoma"/>
                <w:color w:val="auto"/>
                <w:sz w:val="24"/>
                <w:szCs w:val="24"/>
                <w:highlight w:val="yellow"/>
              </w:rPr>
            </w:pPr>
            <w:r>
              <w:rPr>
                <w:rFonts w:hint="eastAsia" w:ascii="仿宋_GB2312" w:hAnsi="宋体" w:eastAsia="仿宋_GB2312" w:cs="仿宋_GB2312"/>
                <w:i w:val="0"/>
                <w:color w:val="000000"/>
                <w:kern w:val="0"/>
                <w:sz w:val="24"/>
                <w:szCs w:val="24"/>
                <w:highlight w:val="yellow"/>
                <w:u w:val="none"/>
                <w:lang w:val="en-US" w:eastAsia="zh-CN" w:bidi="ar"/>
              </w:rPr>
              <w:t>205533</w:t>
            </w:r>
          </w:p>
        </w:tc>
        <w:tc>
          <w:tcPr>
            <w:tcW w:w="148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14.69%</w:t>
            </w:r>
          </w:p>
        </w:tc>
        <w:tc>
          <w:tcPr>
            <w:tcW w:w="1489"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仿宋_GB2312" w:hAnsi="仿宋" w:eastAsia="仿宋_GB2312" w:cs="Tahoma"/>
                <w:color w:val="auto"/>
                <w:sz w:val="24"/>
                <w:szCs w:val="24"/>
                <w:highlight w:val="yellow"/>
                <w:lang w:val="en-US" w:eastAsia="zh-CN"/>
              </w:rPr>
            </w:pPr>
            <w:r>
              <w:rPr>
                <w:rFonts w:hint="eastAsia" w:ascii="仿宋_GB2312" w:hAnsi="宋体" w:eastAsia="仿宋_GB2312" w:cs="仿宋_GB2312"/>
                <w:i w:val="0"/>
                <w:color w:val="000000"/>
                <w:kern w:val="0"/>
                <w:sz w:val="24"/>
                <w:szCs w:val="24"/>
                <w:highlight w:val="yellow"/>
                <w:u w:val="none"/>
                <w:lang w:val="en-US" w:eastAsia="zh-CN" w:bidi="ar"/>
              </w:rPr>
              <w:t>49816.43</w:t>
            </w:r>
          </w:p>
        </w:tc>
      </w:tr>
    </w:tbl>
    <w:p>
      <w:pPr>
        <w:spacing w:beforeLines="100"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3.3.2  最大十户贷款</w:t>
      </w:r>
    </w:p>
    <w:p>
      <w:pPr>
        <w:shd w:val="clear" w:color="auto" w:fill="FFFFFF"/>
        <w:adjustRightInd/>
        <w:snapToGrid/>
        <w:spacing w:after="0" w:line="560" w:lineRule="exact"/>
        <w:ind w:firstLine="562" w:firstLineChars="200"/>
        <w:rPr>
          <w:rFonts w:ascii="仿宋_GB2312" w:hAnsi="微软雅黑" w:eastAsia="仿宋_GB2312" w:cs="宋体"/>
          <w:b/>
          <w:color w:val="auto"/>
          <w:sz w:val="28"/>
          <w:szCs w:val="28"/>
          <w:highlight w:val="none"/>
        </w:rPr>
      </w:pPr>
      <w:r>
        <w:rPr>
          <w:rFonts w:hint="eastAsia" w:ascii="仿宋_GB2312" w:hAnsi="微软雅黑" w:eastAsia="仿宋_GB2312" w:cs="宋体"/>
          <w:b/>
          <w:color w:val="auto"/>
          <w:sz w:val="28"/>
          <w:szCs w:val="28"/>
          <w:highlight w:val="none"/>
        </w:rPr>
        <w:t>表3－4　　 最大十户贷款情况表           单位：万元、％</w:t>
      </w:r>
    </w:p>
    <w:p>
      <w:pPr>
        <w:shd w:val="clear" w:color="auto" w:fill="FFFFFF"/>
        <w:adjustRightInd/>
        <w:snapToGrid/>
        <w:spacing w:before="360" w:after="360" w:line="560" w:lineRule="exact"/>
        <w:ind w:firstLine="602" w:firstLineChars="200"/>
        <w:outlineLvl w:val="1"/>
        <w:rPr>
          <w:rFonts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 xml:space="preserve">3.4 </w:t>
      </w:r>
    </w:p>
    <w:tbl>
      <w:tblPr>
        <w:tblStyle w:val="5"/>
        <w:tblW w:w="8946" w:type="dxa"/>
        <w:tblInd w:w="93" w:type="dxa"/>
        <w:tblLayout w:type="fixed"/>
        <w:tblCellMar>
          <w:top w:w="0" w:type="dxa"/>
          <w:left w:w="108" w:type="dxa"/>
          <w:bottom w:w="0" w:type="dxa"/>
          <w:right w:w="108" w:type="dxa"/>
        </w:tblCellMar>
      </w:tblPr>
      <w:tblGrid>
        <w:gridCol w:w="866"/>
        <w:gridCol w:w="4961"/>
        <w:gridCol w:w="1701"/>
        <w:gridCol w:w="1418"/>
      </w:tblGrid>
      <w:tr>
        <w:tblPrEx>
          <w:tblCellMar>
            <w:top w:w="0" w:type="dxa"/>
            <w:left w:w="108" w:type="dxa"/>
            <w:bottom w:w="0" w:type="dxa"/>
            <w:right w:w="108" w:type="dxa"/>
          </w:tblCellMar>
        </w:tblPrEx>
        <w:trPr>
          <w:trHeight w:val="784" w:hRule="atLeast"/>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序号</w:t>
            </w:r>
          </w:p>
        </w:tc>
        <w:tc>
          <w:tcPr>
            <w:tcW w:w="4961" w:type="dxa"/>
            <w:tcBorders>
              <w:top w:val="single" w:color="auto" w:sz="4" w:space="0"/>
              <w:left w:val="nil"/>
              <w:bottom w:val="single" w:color="auto" w:sz="4" w:space="0"/>
              <w:right w:val="single" w:color="auto" w:sz="4" w:space="0"/>
            </w:tcBorders>
            <w:shd w:val="clear" w:color="auto" w:fill="auto"/>
            <w:vAlign w:val="center"/>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客户名称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2022年末贷款余额</w:t>
            </w:r>
          </w:p>
        </w:tc>
        <w:tc>
          <w:tcPr>
            <w:tcW w:w="1418" w:type="dxa"/>
            <w:tcBorders>
              <w:top w:val="single" w:color="auto" w:sz="4" w:space="0"/>
              <w:left w:val="nil"/>
              <w:bottom w:val="single" w:color="auto" w:sz="4" w:space="0"/>
              <w:right w:val="single" w:color="auto" w:sz="4" w:space="0"/>
            </w:tcBorders>
            <w:shd w:val="clear" w:color="auto" w:fill="auto"/>
            <w:vAlign w:val="center"/>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占资本净额比例</w:t>
            </w:r>
          </w:p>
        </w:tc>
      </w:tr>
      <w:tr>
        <w:tblPrEx>
          <w:tblCellMar>
            <w:top w:w="0" w:type="dxa"/>
            <w:left w:w="108" w:type="dxa"/>
            <w:bottom w:w="0" w:type="dxa"/>
            <w:right w:w="108" w:type="dxa"/>
          </w:tblCellMar>
        </w:tblPrEx>
        <w:trPr>
          <w:trHeight w:val="381"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1</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玉田县天能建材销售有限公司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136947711.7</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8.57%</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2</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玉田县供销大厦有限公司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120000000</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7.51%</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3</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玉田县北方购物有限公司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120000000</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7.51%</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4</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唐山邦力晋银化工有限公司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110000000</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6.89%</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5</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玉田县金坤轧钢有限责任公司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110000000</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6.89%</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6</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玉田县顺发实业有限公司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104500000</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6.54%</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7</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水山建设集团有限公司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100000000</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6.26%</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8</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唐山曹妃甸茂华商贸有限公司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100000000</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6.26%</w:t>
            </w:r>
          </w:p>
        </w:tc>
      </w:tr>
      <w:tr>
        <w:tblPrEx>
          <w:tblCellMar>
            <w:top w:w="0" w:type="dxa"/>
            <w:left w:w="108" w:type="dxa"/>
            <w:bottom w:w="0" w:type="dxa"/>
            <w:right w:w="108" w:type="dxa"/>
          </w:tblCellMar>
        </w:tblPrEx>
        <w:trPr>
          <w:trHeight w:val="291"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9</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唐山建远石化贸易有限公司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100000000</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6.26%</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eastAsia" w:ascii="仿宋_GB2312" w:hAnsi="仿宋" w:eastAsia="仿宋_GB2312" w:cs="Tahoma"/>
                <w:color w:val="auto"/>
                <w:sz w:val="28"/>
                <w:szCs w:val="28"/>
                <w:highlight w:val="yellow"/>
                <w:lang w:val="en-US" w:eastAsia="zh-CN"/>
              </w:rPr>
              <w:t>10</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唐山金路通商贸有限公司</w:t>
            </w: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95000000</w:t>
            </w:r>
          </w:p>
        </w:tc>
        <w:tc>
          <w:tcPr>
            <w:tcW w:w="141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yellow"/>
                <w:lang w:val="en-US" w:eastAsia="zh-CN"/>
              </w:rPr>
            </w:pPr>
            <w:r>
              <w:rPr>
                <w:rFonts w:hint="default" w:ascii="仿宋_GB2312" w:hAnsi="仿宋" w:eastAsia="仿宋_GB2312" w:cs="Tahoma"/>
                <w:color w:val="auto"/>
                <w:sz w:val="28"/>
                <w:szCs w:val="28"/>
                <w:highlight w:val="yellow"/>
                <w:lang w:val="en-US" w:eastAsia="zh-CN"/>
              </w:rPr>
              <w:t>5.95%</w:t>
            </w:r>
          </w:p>
        </w:tc>
      </w:tr>
      <w:tr>
        <w:tblPrEx>
          <w:tblCellMar>
            <w:top w:w="0" w:type="dxa"/>
            <w:left w:w="108" w:type="dxa"/>
            <w:bottom w:w="0" w:type="dxa"/>
            <w:right w:w="108" w:type="dxa"/>
          </w:tblCellMar>
        </w:tblPrEx>
        <w:trPr>
          <w:trHeight w:val="300" w:hRule="atLeast"/>
        </w:trPr>
        <w:tc>
          <w:tcPr>
            <w:tcW w:w="866"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4"/>
                <w:szCs w:val="24"/>
                <w:highlight w:val="yellow"/>
              </w:rPr>
            </w:pPr>
            <w:r>
              <w:rPr>
                <w:rFonts w:hint="eastAsia" w:ascii="仿宋_GB2312" w:hAnsi="仿宋" w:eastAsia="仿宋_GB2312" w:cs="Tahoma"/>
                <w:color w:val="auto"/>
                <w:sz w:val="24"/>
                <w:szCs w:val="24"/>
                <w:highlight w:val="yellow"/>
              </w:rPr>
              <w:t>合计</w:t>
            </w:r>
          </w:p>
        </w:tc>
        <w:tc>
          <w:tcPr>
            <w:tcW w:w="496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4"/>
                <w:szCs w:val="24"/>
                <w:highlight w:val="yellow"/>
              </w:rPr>
            </w:pPr>
          </w:p>
        </w:tc>
        <w:tc>
          <w:tcPr>
            <w:tcW w:w="1701"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4"/>
                <w:szCs w:val="24"/>
                <w:highlight w:val="yellow"/>
                <w:lang w:val="en-US" w:eastAsia="zh-CN"/>
              </w:rPr>
            </w:pPr>
            <w:r>
              <w:rPr>
                <w:rFonts w:hint="eastAsia" w:ascii="仿宋_GB2312" w:hAnsi="仿宋" w:eastAsia="仿宋_GB2312" w:cs="Tahoma"/>
                <w:color w:val="auto"/>
                <w:sz w:val="28"/>
                <w:szCs w:val="28"/>
                <w:highlight w:val="yellow"/>
                <w:lang w:val="en-US" w:eastAsia="zh-CN"/>
              </w:rPr>
              <w:t>109644.77</w:t>
            </w:r>
          </w:p>
        </w:tc>
        <w:tc>
          <w:tcPr>
            <w:tcW w:w="1418" w:type="dxa"/>
            <w:tcBorders>
              <w:top w:val="nil"/>
              <w:left w:val="nil"/>
              <w:bottom w:val="single" w:color="auto" w:sz="4" w:space="0"/>
              <w:right w:val="single" w:color="auto" w:sz="4" w:space="0"/>
            </w:tcBorders>
            <w:vAlign w:val="center"/>
          </w:tcPr>
          <w:p>
            <w:pPr>
              <w:shd w:val="clear"/>
              <w:adjustRightInd/>
              <w:snapToGrid/>
              <w:spacing w:after="0"/>
              <w:jc w:val="center"/>
              <w:rPr>
                <w:rFonts w:ascii="仿宋_GB2312" w:hAnsi="仿宋" w:eastAsia="仿宋_GB2312" w:cs="Tahoma"/>
                <w:color w:val="auto"/>
                <w:sz w:val="24"/>
                <w:szCs w:val="24"/>
                <w:highlight w:val="yellow"/>
              </w:rPr>
            </w:pPr>
          </w:p>
        </w:tc>
      </w:tr>
    </w:tbl>
    <w:p>
      <w:pPr>
        <w:shd w:val="clear" w:color="auto"/>
        <w:adjustRightInd/>
        <w:snapToGrid/>
        <w:spacing w:before="360" w:after="360" w:line="560" w:lineRule="exact"/>
        <w:ind w:firstLine="602" w:firstLineChars="200"/>
        <w:outlineLvl w:val="1"/>
        <w:rPr>
          <w:rFonts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信用风险状况及管理</w:t>
      </w:r>
    </w:p>
    <w:p>
      <w:pPr>
        <w:shd w:val="clear"/>
        <w:spacing w:beforeLines="50"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3.4 .1   贷款质量状况</w:t>
      </w:r>
    </w:p>
    <w:p>
      <w:pPr>
        <w:shd w:val="clear" w:color="auto"/>
        <w:adjustRightInd/>
        <w:snapToGrid/>
        <w:spacing w:after="0" w:line="560" w:lineRule="exact"/>
        <w:ind w:firstLine="562" w:firstLineChars="200"/>
        <w:rPr>
          <w:rFonts w:ascii="仿宋_GB2312" w:hAnsi="微软雅黑" w:eastAsia="仿宋_GB2312" w:cs="宋体"/>
          <w:b/>
          <w:color w:val="auto"/>
          <w:sz w:val="28"/>
          <w:szCs w:val="28"/>
          <w:highlight w:val="none"/>
        </w:rPr>
      </w:pPr>
      <w:r>
        <w:rPr>
          <w:rFonts w:hint="eastAsia" w:ascii="仿宋_GB2312" w:hAnsi="微软雅黑" w:eastAsia="仿宋_GB2312" w:cs="宋体"/>
          <w:b/>
          <w:color w:val="auto"/>
          <w:sz w:val="28"/>
          <w:szCs w:val="28"/>
          <w:highlight w:val="none"/>
        </w:rPr>
        <w:t>表3-5       贷款风险分类和不良贷款情况表      单位：万元、%</w:t>
      </w:r>
    </w:p>
    <w:tbl>
      <w:tblPr>
        <w:tblStyle w:val="5"/>
        <w:tblW w:w="8804" w:type="dxa"/>
        <w:tblInd w:w="93" w:type="dxa"/>
        <w:tblLayout w:type="fixed"/>
        <w:tblCellMar>
          <w:top w:w="0" w:type="dxa"/>
          <w:left w:w="108" w:type="dxa"/>
          <w:bottom w:w="0" w:type="dxa"/>
          <w:right w:w="108" w:type="dxa"/>
        </w:tblCellMar>
      </w:tblPr>
      <w:tblGrid>
        <w:gridCol w:w="2000"/>
        <w:gridCol w:w="3402"/>
        <w:gridCol w:w="3402"/>
      </w:tblGrid>
      <w:tr>
        <w:tblPrEx>
          <w:tblCellMar>
            <w:top w:w="0" w:type="dxa"/>
            <w:left w:w="108" w:type="dxa"/>
            <w:bottom w:w="0" w:type="dxa"/>
            <w:right w:w="108" w:type="dxa"/>
          </w:tblCellMar>
        </w:tblPrEx>
        <w:trPr>
          <w:trHeight w:val="789"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djustRightInd/>
              <w:snapToGrid/>
              <w:spacing w:after="0"/>
              <w:jc w:val="center"/>
              <w:rPr>
                <w:rFonts w:ascii="仿宋_GB2312" w:hAnsi="仿宋" w:eastAsia="仿宋_GB2312" w:cs="Tahoma"/>
                <w:color w:val="auto"/>
                <w:sz w:val="28"/>
                <w:szCs w:val="28"/>
                <w:highlight w:val="none"/>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20</w:t>
            </w:r>
            <w:r>
              <w:rPr>
                <w:rFonts w:hint="eastAsia" w:ascii="仿宋_GB2312" w:hAnsi="仿宋" w:eastAsia="仿宋_GB2312" w:cs="Tahoma"/>
                <w:color w:val="auto"/>
                <w:sz w:val="28"/>
                <w:szCs w:val="28"/>
                <w:highlight w:val="none"/>
                <w:lang w:val="en-US" w:eastAsia="zh-CN"/>
              </w:rPr>
              <w:t>21</w:t>
            </w:r>
            <w:r>
              <w:rPr>
                <w:rFonts w:hint="eastAsia" w:ascii="仿宋_GB2312" w:hAnsi="仿宋" w:eastAsia="仿宋_GB2312" w:cs="Tahoma"/>
                <w:color w:val="auto"/>
                <w:sz w:val="28"/>
                <w:szCs w:val="28"/>
                <w:highlight w:val="none"/>
              </w:rPr>
              <w:t>年末余额</w:t>
            </w:r>
          </w:p>
        </w:tc>
        <w:tc>
          <w:tcPr>
            <w:tcW w:w="3402" w:type="dxa"/>
            <w:tcBorders>
              <w:top w:val="single" w:color="auto" w:sz="4" w:space="0"/>
              <w:left w:val="nil"/>
              <w:bottom w:val="single" w:color="auto" w:sz="4" w:space="0"/>
              <w:right w:val="single" w:color="auto" w:sz="4" w:space="0"/>
            </w:tcBorders>
            <w:shd w:val="clear" w:color="auto" w:fill="auto"/>
            <w:vAlign w:val="center"/>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占比</w:t>
            </w:r>
          </w:p>
        </w:tc>
      </w:tr>
      <w:tr>
        <w:tblPrEx>
          <w:tblCellMar>
            <w:top w:w="0" w:type="dxa"/>
            <w:left w:w="108" w:type="dxa"/>
            <w:bottom w:w="0" w:type="dxa"/>
            <w:right w:w="108" w:type="dxa"/>
          </w:tblCellMar>
        </w:tblPrEx>
        <w:trPr>
          <w:trHeight w:val="300" w:hRule="atLeast"/>
        </w:trPr>
        <w:tc>
          <w:tcPr>
            <w:tcW w:w="200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正常类贷款</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1316609.9</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83.57</w:t>
            </w:r>
          </w:p>
        </w:tc>
      </w:tr>
      <w:tr>
        <w:tblPrEx>
          <w:tblCellMar>
            <w:top w:w="0" w:type="dxa"/>
            <w:left w:w="108" w:type="dxa"/>
            <w:bottom w:w="0" w:type="dxa"/>
            <w:right w:w="108" w:type="dxa"/>
          </w:tblCellMar>
        </w:tblPrEx>
        <w:trPr>
          <w:trHeight w:val="300" w:hRule="atLeast"/>
        </w:trPr>
        <w:tc>
          <w:tcPr>
            <w:tcW w:w="200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关注类贷款</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186888.45</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11.86</w:t>
            </w:r>
          </w:p>
        </w:tc>
      </w:tr>
      <w:tr>
        <w:tblPrEx>
          <w:tblCellMar>
            <w:top w:w="0" w:type="dxa"/>
            <w:left w:w="108" w:type="dxa"/>
            <w:bottom w:w="0" w:type="dxa"/>
            <w:right w:w="108" w:type="dxa"/>
          </w:tblCellMar>
        </w:tblPrEx>
        <w:trPr>
          <w:trHeight w:val="300" w:hRule="atLeast"/>
        </w:trPr>
        <w:tc>
          <w:tcPr>
            <w:tcW w:w="200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次级类贷款</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35177.81</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2.23</w:t>
            </w:r>
          </w:p>
        </w:tc>
      </w:tr>
      <w:tr>
        <w:tblPrEx>
          <w:tblCellMar>
            <w:top w:w="0" w:type="dxa"/>
            <w:left w:w="108" w:type="dxa"/>
            <w:bottom w:w="0" w:type="dxa"/>
            <w:right w:w="108" w:type="dxa"/>
          </w:tblCellMar>
        </w:tblPrEx>
        <w:trPr>
          <w:trHeight w:val="300" w:hRule="atLeast"/>
        </w:trPr>
        <w:tc>
          <w:tcPr>
            <w:tcW w:w="200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可</w:t>
            </w:r>
            <w:r>
              <w:rPr>
                <w:rFonts w:hint="eastAsia" w:ascii="仿宋_GB2312" w:hAnsi="宋体" w:eastAsia="仿宋_GB2312" w:cs="宋体"/>
                <w:color w:val="auto"/>
                <w:sz w:val="28"/>
                <w:szCs w:val="28"/>
                <w:highlight w:val="none"/>
              </w:rPr>
              <w:t>疑类</w:t>
            </w:r>
            <w:r>
              <w:rPr>
                <w:rFonts w:hint="eastAsia" w:ascii="仿宋_GB2312" w:hAnsi="仿宋" w:eastAsia="仿宋_GB2312" w:cs="Tahoma"/>
                <w:color w:val="auto"/>
                <w:sz w:val="28"/>
                <w:szCs w:val="28"/>
                <w:highlight w:val="none"/>
              </w:rPr>
              <w:t>贷款</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23465.07</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1.49</w:t>
            </w:r>
          </w:p>
        </w:tc>
      </w:tr>
      <w:tr>
        <w:tblPrEx>
          <w:tblCellMar>
            <w:top w:w="0" w:type="dxa"/>
            <w:left w:w="108" w:type="dxa"/>
            <w:bottom w:w="0" w:type="dxa"/>
            <w:right w:w="108" w:type="dxa"/>
          </w:tblCellMar>
        </w:tblPrEx>
        <w:trPr>
          <w:trHeight w:val="300" w:hRule="atLeast"/>
        </w:trPr>
        <w:tc>
          <w:tcPr>
            <w:tcW w:w="200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宋体" w:eastAsia="仿宋_GB2312" w:cs="宋体"/>
                <w:color w:val="auto"/>
                <w:sz w:val="28"/>
                <w:szCs w:val="28"/>
                <w:highlight w:val="none"/>
              </w:rPr>
              <w:t>损失类</w:t>
            </w:r>
            <w:r>
              <w:rPr>
                <w:rFonts w:hint="eastAsia" w:ascii="仿宋_GB2312" w:hAnsi="仿宋" w:eastAsia="仿宋_GB2312" w:cs="Tahoma"/>
                <w:color w:val="auto"/>
                <w:sz w:val="28"/>
                <w:szCs w:val="28"/>
                <w:highlight w:val="none"/>
              </w:rPr>
              <w:t>贷款</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13306.91</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0.84</w:t>
            </w:r>
          </w:p>
        </w:tc>
      </w:tr>
      <w:tr>
        <w:tblPrEx>
          <w:tblCellMar>
            <w:top w:w="0" w:type="dxa"/>
            <w:left w:w="108" w:type="dxa"/>
            <w:bottom w:w="0" w:type="dxa"/>
            <w:right w:w="108" w:type="dxa"/>
          </w:tblCellMar>
        </w:tblPrEx>
        <w:trPr>
          <w:trHeight w:val="90" w:hRule="atLeast"/>
        </w:trPr>
        <w:tc>
          <w:tcPr>
            <w:tcW w:w="2000" w:type="dxa"/>
            <w:tcBorders>
              <w:top w:val="nil"/>
              <w:left w:val="single" w:color="auto" w:sz="4" w:space="0"/>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合  计</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shd w:val="clear"/>
                <w:lang w:val="en-US" w:eastAsia="zh-CN"/>
              </w:rPr>
              <w:t>1575448.14</w:t>
            </w:r>
          </w:p>
        </w:tc>
        <w:tc>
          <w:tcPr>
            <w:tcW w:w="3402"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100</w:t>
            </w:r>
          </w:p>
        </w:tc>
      </w:tr>
    </w:tbl>
    <w:p>
      <w:pPr>
        <w:shd w:val="clear" w:color="auto"/>
        <w:adjustRightInd/>
        <w:snapToGrid/>
        <w:spacing w:after="0" w:line="560" w:lineRule="exact"/>
        <w:ind w:firstLine="562" w:firstLineChars="200"/>
        <w:rPr>
          <w:rFonts w:ascii="仿宋_GB2312" w:hAnsi="微软雅黑" w:eastAsia="仿宋_GB2312" w:cs="宋体"/>
          <w:b/>
          <w:color w:val="auto"/>
          <w:sz w:val="28"/>
          <w:szCs w:val="28"/>
          <w:highlight w:val="none"/>
        </w:rPr>
      </w:pPr>
    </w:p>
    <w:p>
      <w:pPr>
        <w:shd w:val="clear" w:color="auto"/>
        <w:adjustRightInd/>
        <w:snapToGrid/>
        <w:spacing w:before="100" w:beforeAutospacing="1" w:after="100" w:afterAutospacing="1"/>
        <w:ind w:firstLine="422" w:firstLineChars="150"/>
        <w:rPr>
          <w:rFonts w:ascii="仿宋_GB2312" w:hAnsi="微软雅黑" w:eastAsia="仿宋_GB2312" w:cs="宋体"/>
          <w:b/>
          <w:color w:val="auto"/>
          <w:sz w:val="28"/>
          <w:szCs w:val="28"/>
          <w:highlight w:val="none"/>
        </w:rPr>
      </w:pPr>
      <w:r>
        <w:rPr>
          <w:rFonts w:hint="eastAsia" w:ascii="仿宋_GB2312" w:hAnsi="微软雅黑" w:eastAsia="仿宋_GB2312" w:cs="宋体"/>
          <w:b/>
          <w:color w:val="auto"/>
          <w:sz w:val="28"/>
          <w:szCs w:val="28"/>
          <w:highlight w:val="none"/>
        </w:rPr>
        <w:t>表3－6　 报告期末不良贷款主要行业分布情况表  单位：万元</w:t>
      </w:r>
    </w:p>
    <w:tbl>
      <w:tblPr>
        <w:tblStyle w:val="5"/>
        <w:tblW w:w="8804" w:type="dxa"/>
        <w:tblInd w:w="93" w:type="dxa"/>
        <w:tblLayout w:type="fixed"/>
        <w:tblCellMar>
          <w:top w:w="0" w:type="dxa"/>
          <w:left w:w="108" w:type="dxa"/>
          <w:bottom w:w="0" w:type="dxa"/>
          <w:right w:w="108" w:type="dxa"/>
        </w:tblCellMar>
      </w:tblPr>
      <w:tblGrid>
        <w:gridCol w:w="2850"/>
        <w:gridCol w:w="1488"/>
        <w:gridCol w:w="1489"/>
        <w:gridCol w:w="1488"/>
        <w:gridCol w:w="1489"/>
      </w:tblGrid>
      <w:tr>
        <w:tblPrEx>
          <w:tblCellMar>
            <w:top w:w="0" w:type="dxa"/>
            <w:left w:w="108" w:type="dxa"/>
            <w:bottom w:w="0" w:type="dxa"/>
            <w:right w:w="108" w:type="dxa"/>
          </w:tblCellMar>
        </w:tblPrEx>
        <w:trPr>
          <w:trHeight w:val="497" w:hRule="atLeast"/>
        </w:trPr>
        <w:tc>
          <w:tcPr>
            <w:tcW w:w="2850" w:type="dxa"/>
            <w:tcBorders>
              <w:top w:val="single" w:color="auto" w:sz="4" w:space="0"/>
              <w:left w:val="single" w:color="auto" w:sz="4" w:space="0"/>
              <w:bottom w:val="single" w:color="auto" w:sz="4" w:space="0"/>
              <w:right w:val="single" w:color="auto" w:sz="4" w:space="0"/>
            </w:tcBorders>
            <w:vAlign w:val="center"/>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行业种类</w:t>
            </w:r>
          </w:p>
        </w:tc>
        <w:tc>
          <w:tcPr>
            <w:tcW w:w="1488" w:type="dxa"/>
            <w:tcBorders>
              <w:top w:val="single" w:color="auto" w:sz="4" w:space="0"/>
              <w:left w:val="nil"/>
              <w:bottom w:val="single" w:color="auto" w:sz="4" w:space="0"/>
              <w:right w:val="single" w:color="auto" w:sz="4" w:space="0"/>
            </w:tcBorders>
            <w:shd w:val="clear" w:color="auto" w:fill="auto"/>
            <w:vAlign w:val="center"/>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次级贷款</w:t>
            </w:r>
          </w:p>
        </w:tc>
        <w:tc>
          <w:tcPr>
            <w:tcW w:w="1489" w:type="dxa"/>
            <w:tcBorders>
              <w:top w:val="single" w:color="auto" w:sz="4" w:space="0"/>
              <w:left w:val="nil"/>
              <w:bottom w:val="single" w:color="auto" w:sz="4" w:space="0"/>
              <w:right w:val="single" w:color="auto" w:sz="4" w:space="0"/>
            </w:tcBorders>
            <w:shd w:val="clear" w:color="auto" w:fill="auto"/>
            <w:vAlign w:val="center"/>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可</w:t>
            </w:r>
            <w:r>
              <w:rPr>
                <w:rFonts w:hint="eastAsia" w:ascii="仿宋_GB2312" w:hAnsi="宋体" w:eastAsia="仿宋_GB2312" w:cs="宋体"/>
                <w:color w:val="auto"/>
                <w:sz w:val="28"/>
                <w:szCs w:val="28"/>
                <w:highlight w:val="none"/>
              </w:rPr>
              <w:t>疑</w:t>
            </w:r>
            <w:r>
              <w:rPr>
                <w:rFonts w:hint="eastAsia" w:ascii="仿宋_GB2312" w:hAnsi="仿宋" w:eastAsia="仿宋_GB2312" w:cs="Tahoma"/>
                <w:color w:val="auto"/>
                <w:sz w:val="28"/>
                <w:szCs w:val="28"/>
                <w:highlight w:val="none"/>
              </w:rPr>
              <w:t>贷款</w:t>
            </w:r>
          </w:p>
        </w:tc>
        <w:tc>
          <w:tcPr>
            <w:tcW w:w="1488" w:type="dxa"/>
            <w:tcBorders>
              <w:top w:val="single" w:color="auto" w:sz="4" w:space="0"/>
              <w:left w:val="nil"/>
              <w:bottom w:val="single" w:color="auto" w:sz="4" w:space="0"/>
              <w:right w:val="single" w:color="auto" w:sz="4" w:space="0"/>
            </w:tcBorders>
            <w:shd w:val="clear" w:color="auto" w:fill="auto"/>
            <w:vAlign w:val="center"/>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损失贷款</w:t>
            </w:r>
          </w:p>
        </w:tc>
        <w:tc>
          <w:tcPr>
            <w:tcW w:w="1489" w:type="dxa"/>
            <w:tcBorders>
              <w:top w:val="single" w:color="auto" w:sz="4" w:space="0"/>
              <w:left w:val="nil"/>
              <w:bottom w:val="single" w:color="auto" w:sz="4" w:space="0"/>
              <w:right w:val="single" w:color="auto" w:sz="4" w:space="0"/>
            </w:tcBorders>
            <w:shd w:val="clear" w:color="auto" w:fill="auto"/>
            <w:vAlign w:val="center"/>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小 计</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A.农、林、牧、渔业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2700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1738</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726</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eastAsia="仿宋_GB2312" w:cs="Tahoma"/>
                <w:color w:val="auto"/>
                <w:sz w:val="28"/>
                <w:szCs w:val="28"/>
                <w:highlight w:val="none"/>
                <w:lang w:val="en-US" w:eastAsia="zh-CN"/>
              </w:rPr>
            </w:pPr>
            <w:r>
              <w:rPr>
                <w:rFonts w:hint="eastAsia" w:ascii="仿宋_GB2312" w:eastAsia="仿宋_GB2312" w:cs="Tahoma"/>
                <w:color w:val="auto"/>
                <w:sz w:val="28"/>
                <w:szCs w:val="28"/>
                <w:highlight w:val="none"/>
                <w:lang w:val="en-US" w:eastAsia="zh-CN"/>
              </w:rPr>
              <w:t>5164</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C.制造业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12906</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17050</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10251</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eastAsia="仿宋_GB2312" w:cs="Tahoma"/>
                <w:color w:val="auto"/>
                <w:sz w:val="28"/>
                <w:szCs w:val="28"/>
                <w:highlight w:val="none"/>
                <w:lang w:val="en-US" w:eastAsia="zh-CN"/>
              </w:rPr>
            </w:pPr>
            <w:r>
              <w:rPr>
                <w:rFonts w:hint="eastAsia" w:ascii="仿宋_GB2312" w:eastAsia="仿宋_GB2312" w:cs="Tahoma"/>
                <w:color w:val="auto"/>
                <w:sz w:val="28"/>
                <w:szCs w:val="28"/>
                <w:highlight w:val="none"/>
                <w:lang w:val="en-US" w:eastAsia="zh-CN"/>
              </w:rPr>
              <w:t>40207</w:t>
            </w:r>
          </w:p>
        </w:tc>
      </w:tr>
      <w:tr>
        <w:tblPrEx>
          <w:tblCellMar>
            <w:top w:w="0" w:type="dxa"/>
            <w:left w:w="108" w:type="dxa"/>
            <w:bottom w:w="0" w:type="dxa"/>
            <w:right w:w="108" w:type="dxa"/>
          </w:tblCellMar>
        </w:tblPrEx>
        <w:trPr>
          <w:trHeight w:val="628"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D.</w:t>
            </w:r>
            <w:r>
              <w:rPr>
                <w:rFonts w:hint="eastAsia" w:ascii="仿宋_GB2312" w:hAnsi="仿宋" w:eastAsia="仿宋_GB2312" w:cs="Tahoma"/>
                <w:color w:val="auto"/>
                <w:sz w:val="21"/>
                <w:szCs w:val="21"/>
                <w:highlight w:val="none"/>
              </w:rPr>
              <w:t xml:space="preserve"> 电力、热力、燃气及水的生产和供应</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none"/>
                <w:lang w:eastAsia="zh-CN"/>
              </w:rPr>
            </w:pPr>
            <w:r>
              <w:rPr>
                <w:rFonts w:hint="eastAsia" w:ascii="仿宋_GB2312" w:hAnsi="仿宋" w:eastAsia="仿宋_GB2312" w:cs="Tahoma"/>
                <w:color w:val="auto"/>
                <w:sz w:val="28"/>
                <w:szCs w:val="28"/>
                <w:highlight w:val="none"/>
                <w:lang w:val="en-US" w:eastAsia="zh-CN"/>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eastAsia="仿宋_GB2312" w:cs="Tahoma"/>
                <w:color w:val="auto"/>
                <w:sz w:val="28"/>
                <w:szCs w:val="28"/>
                <w:highlight w:val="none"/>
                <w:lang w:eastAsia="zh-CN"/>
              </w:rPr>
            </w:pPr>
            <w:r>
              <w:rPr>
                <w:rFonts w:hint="eastAsia" w:ascii="仿宋_GB2312" w:eastAsia="仿宋_GB2312" w:cs="Tahoma"/>
                <w:color w:val="auto"/>
                <w:sz w:val="28"/>
                <w:szCs w:val="28"/>
                <w:highlight w:val="none"/>
                <w:lang w:val="en-US" w:eastAsia="zh-CN"/>
              </w:rPr>
              <w:t>0</w:t>
            </w:r>
          </w:p>
        </w:tc>
      </w:tr>
      <w:tr>
        <w:tblPrEx>
          <w:tblCellMar>
            <w:top w:w="0" w:type="dxa"/>
            <w:left w:w="108" w:type="dxa"/>
            <w:bottom w:w="0" w:type="dxa"/>
            <w:right w:w="108" w:type="dxa"/>
          </w:tblCellMar>
        </w:tblPrEx>
        <w:trPr>
          <w:trHeight w:val="423"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E.建筑业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193</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875</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221</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eastAsia="仿宋_GB2312" w:cs="Tahoma"/>
                <w:color w:val="auto"/>
                <w:sz w:val="28"/>
                <w:szCs w:val="28"/>
                <w:highlight w:val="none"/>
                <w:lang w:val="en-US" w:eastAsia="zh-CN"/>
              </w:rPr>
            </w:pPr>
            <w:r>
              <w:rPr>
                <w:rFonts w:hint="eastAsia" w:ascii="仿宋_GB2312" w:eastAsia="仿宋_GB2312" w:cs="Tahoma"/>
                <w:color w:val="auto"/>
                <w:sz w:val="28"/>
                <w:szCs w:val="28"/>
                <w:highlight w:val="none"/>
                <w:lang w:val="en-US" w:eastAsia="zh-CN"/>
              </w:rPr>
              <w:t>1289</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F.批发和零售业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15822</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3634</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2066</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eastAsia="仿宋_GB2312" w:cs="Tahoma"/>
                <w:color w:val="auto"/>
                <w:sz w:val="28"/>
                <w:szCs w:val="28"/>
                <w:highlight w:val="none"/>
                <w:lang w:val="en-US" w:eastAsia="zh-CN"/>
              </w:rPr>
            </w:pPr>
            <w:r>
              <w:rPr>
                <w:rFonts w:hint="eastAsia" w:ascii="仿宋_GB2312" w:eastAsia="仿宋_GB2312" w:cs="Tahoma"/>
                <w:color w:val="auto"/>
                <w:sz w:val="28"/>
                <w:szCs w:val="28"/>
                <w:highlight w:val="none"/>
                <w:lang w:val="en-US" w:eastAsia="zh-CN"/>
              </w:rPr>
              <w:t>21522</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G.</w:t>
            </w:r>
            <w:r>
              <w:rPr>
                <w:rFonts w:hint="eastAsia" w:ascii="仿宋_GB2312" w:hAnsi="仿宋" w:eastAsia="仿宋_GB2312" w:cs="Tahoma"/>
                <w:color w:val="auto"/>
                <w:sz w:val="21"/>
                <w:szCs w:val="21"/>
                <w:highlight w:val="none"/>
              </w:rPr>
              <w:t>交通运输、仓储和邮政业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none"/>
                <w:lang w:eastAsia="zh-CN"/>
              </w:rPr>
            </w:pPr>
            <w:r>
              <w:rPr>
                <w:rFonts w:hint="eastAsia" w:ascii="仿宋_GB2312" w:hAnsi="仿宋" w:eastAsia="仿宋_GB2312" w:cs="Tahoma"/>
                <w:color w:val="auto"/>
                <w:sz w:val="28"/>
                <w:szCs w:val="28"/>
                <w:highlight w:val="none"/>
                <w:lang w:val="en-US" w:eastAsia="zh-CN"/>
              </w:rPr>
              <w:t>9</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42</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eastAsia="仿宋_GB2312" w:cs="Tahoma"/>
                <w:color w:val="auto"/>
                <w:sz w:val="28"/>
                <w:szCs w:val="28"/>
                <w:highlight w:val="none"/>
                <w:lang w:val="en-US" w:eastAsia="zh-CN"/>
              </w:rPr>
            </w:pPr>
            <w:r>
              <w:rPr>
                <w:rFonts w:hint="eastAsia" w:ascii="仿宋_GB2312" w:eastAsia="仿宋_GB2312" w:cs="Tahoma"/>
                <w:color w:val="auto"/>
                <w:sz w:val="28"/>
                <w:szCs w:val="28"/>
                <w:highlight w:val="none"/>
                <w:lang w:val="en-US" w:eastAsia="zh-CN"/>
              </w:rPr>
              <w:t>51</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hint="eastAsia" w:ascii="仿宋_GB2312" w:hAnsi="仿宋" w:eastAsia="仿宋_GB2312" w:cs="Tahoma"/>
                <w:color w:val="auto"/>
                <w:sz w:val="28"/>
                <w:szCs w:val="28"/>
                <w:highlight w:val="none"/>
                <w:lang w:eastAsia="zh-CN"/>
              </w:rPr>
            </w:pPr>
            <w:r>
              <w:rPr>
                <w:rFonts w:hint="eastAsia" w:ascii="仿宋_GB2312" w:hAnsi="仿宋" w:eastAsia="仿宋_GB2312" w:cs="Tahoma"/>
                <w:color w:val="auto"/>
                <w:sz w:val="28"/>
                <w:szCs w:val="28"/>
                <w:highlight w:val="none"/>
              </w:rPr>
              <w:t>H.</w:t>
            </w:r>
            <w:r>
              <w:rPr>
                <w:rFonts w:hint="eastAsia" w:ascii="仿宋_GB2312" w:hAnsi="仿宋" w:eastAsia="仿宋_GB2312" w:cs="Tahoma"/>
                <w:color w:val="auto"/>
                <w:sz w:val="28"/>
                <w:szCs w:val="28"/>
                <w:highlight w:val="none"/>
                <w:lang w:eastAsia="zh-CN"/>
              </w:rPr>
              <w:t>住宿和餐饮业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298</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126</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eastAsia="仿宋_GB2312" w:cs="Tahoma"/>
                <w:color w:val="auto"/>
                <w:sz w:val="28"/>
                <w:szCs w:val="28"/>
                <w:highlight w:val="none"/>
                <w:lang w:val="en-US" w:eastAsia="zh-CN"/>
              </w:rPr>
            </w:pPr>
            <w:r>
              <w:rPr>
                <w:rFonts w:hint="eastAsia" w:ascii="仿宋_GB2312" w:eastAsia="仿宋_GB2312" w:cs="Tahoma"/>
                <w:color w:val="auto"/>
                <w:sz w:val="28"/>
                <w:szCs w:val="28"/>
                <w:highlight w:val="none"/>
                <w:lang w:val="en-US" w:eastAsia="zh-CN"/>
              </w:rPr>
              <w:t>424</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K.房地产业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3259</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0</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none"/>
                <w:lang w:eastAsia="zh-CN"/>
              </w:rPr>
            </w:pPr>
            <w:r>
              <w:rPr>
                <w:rFonts w:hint="eastAsia" w:ascii="仿宋_GB2312" w:hAnsi="仿宋" w:eastAsia="仿宋_GB2312" w:cs="Tahoma"/>
                <w:color w:val="auto"/>
                <w:sz w:val="28"/>
                <w:szCs w:val="28"/>
                <w:highlight w:val="none"/>
                <w:lang w:val="en-US" w:eastAsia="zh-CN"/>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eastAsia="仿宋_GB2312" w:cs="Tahoma"/>
                <w:color w:val="auto"/>
                <w:sz w:val="28"/>
                <w:szCs w:val="28"/>
                <w:highlight w:val="none"/>
                <w:lang w:val="en-US" w:eastAsia="zh-CN"/>
              </w:rPr>
            </w:pPr>
            <w:r>
              <w:rPr>
                <w:rFonts w:hint="eastAsia" w:ascii="仿宋_GB2312" w:eastAsia="仿宋_GB2312" w:cs="Tahoma"/>
                <w:color w:val="auto"/>
                <w:sz w:val="28"/>
                <w:szCs w:val="28"/>
                <w:highlight w:val="none"/>
                <w:lang w:val="en-US" w:eastAsia="zh-CN"/>
              </w:rPr>
              <w:t>3259</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L.</w:t>
            </w:r>
            <w:r>
              <w:rPr>
                <w:rFonts w:hint="eastAsia" w:ascii="仿宋_GB2312" w:hAnsi="仿宋" w:eastAsia="仿宋_GB2312" w:cs="Tahoma"/>
                <w:color w:val="auto"/>
                <w:sz w:val="24"/>
                <w:szCs w:val="24"/>
                <w:highlight w:val="none"/>
              </w:rPr>
              <w:t>租赁和商务及服务业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none"/>
                <w:lang w:eastAsia="zh-CN"/>
              </w:rPr>
            </w:pPr>
            <w:r>
              <w:rPr>
                <w:rFonts w:hint="eastAsia" w:ascii="仿宋_GB2312" w:hAnsi="仿宋" w:eastAsia="仿宋_GB2312" w:cs="Tahoma"/>
                <w:color w:val="auto"/>
                <w:sz w:val="28"/>
                <w:szCs w:val="28"/>
                <w:highlight w:val="none"/>
                <w:lang w:val="en-US" w:eastAsia="zh-CN"/>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eastAsia="仿宋_GB2312" w:cs="Tahoma"/>
                <w:color w:val="auto"/>
                <w:sz w:val="28"/>
                <w:szCs w:val="28"/>
                <w:highlight w:val="none"/>
                <w:lang w:val="en-US" w:eastAsia="zh-CN"/>
              </w:rPr>
            </w:pPr>
            <w:r>
              <w:rPr>
                <w:rFonts w:hint="eastAsia" w:ascii="仿宋_GB2312" w:eastAsia="仿宋_GB2312" w:cs="Tahoma"/>
                <w:color w:val="auto"/>
                <w:sz w:val="28"/>
                <w:szCs w:val="28"/>
                <w:highlight w:val="none"/>
                <w:lang w:val="en-US" w:eastAsia="zh-CN"/>
              </w:rPr>
              <w:t>0</w:t>
            </w:r>
          </w:p>
        </w:tc>
      </w:tr>
      <w:tr>
        <w:tblPrEx>
          <w:tblCellMar>
            <w:top w:w="0" w:type="dxa"/>
            <w:left w:w="108" w:type="dxa"/>
            <w:bottom w:w="0" w:type="dxa"/>
            <w:right w:w="108" w:type="dxa"/>
          </w:tblCellMar>
        </w:tblPrEx>
        <w:trPr>
          <w:trHeight w:val="300"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N.</w:t>
            </w:r>
            <w:r>
              <w:rPr>
                <w:rFonts w:hint="eastAsia" w:ascii="仿宋_GB2312" w:hAnsi="仿宋" w:eastAsia="仿宋_GB2312" w:cs="Tahoma"/>
                <w:color w:val="auto"/>
                <w:sz w:val="18"/>
                <w:szCs w:val="18"/>
                <w:highlight w:val="none"/>
              </w:rPr>
              <w:t>水利、环境和公共设施管理业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eastAsia="仿宋_GB2312" w:cs="Tahoma"/>
                <w:color w:val="auto"/>
                <w:sz w:val="28"/>
                <w:szCs w:val="28"/>
                <w:highlight w:val="none"/>
              </w:rPr>
            </w:pPr>
            <w:r>
              <w:rPr>
                <w:rFonts w:hint="eastAsia" w:ascii="仿宋_GB2312" w:eastAsia="仿宋_GB2312" w:cs="Tahoma"/>
                <w:color w:val="auto"/>
                <w:sz w:val="28"/>
                <w:szCs w:val="28"/>
                <w:highlight w:val="none"/>
              </w:rPr>
              <w:t>0</w:t>
            </w:r>
          </w:p>
        </w:tc>
      </w:tr>
      <w:tr>
        <w:tblPrEx>
          <w:tblCellMar>
            <w:top w:w="0" w:type="dxa"/>
            <w:left w:w="108" w:type="dxa"/>
            <w:bottom w:w="0" w:type="dxa"/>
            <w:right w:w="108" w:type="dxa"/>
          </w:tblCellMar>
        </w:tblPrEx>
        <w:trPr>
          <w:trHeight w:val="310"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O.</w:t>
            </w:r>
            <w:r>
              <w:rPr>
                <w:rFonts w:ascii="仿宋_GB2312" w:hAnsi="仿宋" w:eastAsia="仿宋_GB2312" w:cs="Tahoma"/>
                <w:color w:val="auto"/>
                <w:sz w:val="18"/>
                <w:szCs w:val="18"/>
                <w:highlight w:val="none"/>
              </w:rPr>
              <w:t>居民服务、修理和其他服务业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hAnsi="仿宋" w:eastAsia="仿宋_GB2312" w:cs="Tahoma"/>
                <w:color w:val="auto"/>
                <w:sz w:val="28"/>
                <w:szCs w:val="28"/>
                <w:highlight w:val="none"/>
                <w:lang w:val="en-US" w:eastAsia="zh-CN"/>
              </w:rPr>
            </w:pPr>
            <w:r>
              <w:rPr>
                <w:rFonts w:hint="eastAsia" w:ascii="仿宋_GB2312" w:hAnsi="仿宋" w:eastAsia="仿宋_GB2312" w:cs="Tahoma"/>
                <w:color w:val="auto"/>
                <w:sz w:val="28"/>
                <w:szCs w:val="28"/>
                <w:highlight w:val="none"/>
                <w:lang w:val="en-US" w:eastAsia="zh-CN"/>
              </w:rPr>
              <w:t>9.18</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eastAsia" w:ascii="仿宋_GB2312" w:hAnsi="仿宋" w:eastAsia="仿宋_GB2312" w:cs="Tahoma"/>
                <w:color w:val="auto"/>
                <w:sz w:val="28"/>
                <w:szCs w:val="28"/>
                <w:highlight w:val="none"/>
                <w:lang w:eastAsia="zh-CN"/>
              </w:rPr>
            </w:pPr>
            <w:r>
              <w:rPr>
                <w:rFonts w:hint="eastAsia" w:ascii="仿宋_GB2312" w:hAnsi="仿宋" w:eastAsia="仿宋_GB2312" w:cs="Tahoma"/>
                <w:color w:val="auto"/>
                <w:sz w:val="28"/>
                <w:szCs w:val="28"/>
                <w:highlight w:val="none"/>
                <w:lang w:val="en-US" w:eastAsia="zh-CN"/>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hint="default" w:ascii="仿宋_GB2312" w:eastAsia="仿宋_GB2312" w:cs="Tahoma"/>
                <w:color w:val="auto"/>
                <w:sz w:val="28"/>
                <w:szCs w:val="28"/>
                <w:highlight w:val="none"/>
                <w:lang w:val="en-US" w:eastAsia="zh-CN"/>
              </w:rPr>
            </w:pPr>
            <w:r>
              <w:rPr>
                <w:rFonts w:hint="eastAsia" w:ascii="仿宋_GB2312" w:eastAsia="仿宋_GB2312" w:cs="Tahoma"/>
                <w:color w:val="auto"/>
                <w:sz w:val="28"/>
                <w:szCs w:val="28"/>
                <w:highlight w:val="none"/>
                <w:lang w:val="en-US" w:eastAsia="zh-CN"/>
              </w:rPr>
              <w:t>9.18</w:t>
            </w:r>
          </w:p>
        </w:tc>
      </w:tr>
      <w:tr>
        <w:tblPrEx>
          <w:tblCellMar>
            <w:top w:w="0" w:type="dxa"/>
            <w:left w:w="108" w:type="dxa"/>
            <w:bottom w:w="0" w:type="dxa"/>
            <w:right w:w="108" w:type="dxa"/>
          </w:tblCellMar>
        </w:tblPrEx>
        <w:trPr>
          <w:trHeight w:val="261" w:hRule="atLeast"/>
        </w:trPr>
        <w:tc>
          <w:tcPr>
            <w:tcW w:w="2850" w:type="dxa"/>
            <w:tcBorders>
              <w:top w:val="nil"/>
              <w:left w:val="single" w:color="auto" w:sz="4" w:space="0"/>
              <w:bottom w:val="single" w:color="auto" w:sz="4" w:space="0"/>
              <w:right w:val="single" w:color="auto" w:sz="4" w:space="0"/>
            </w:tcBorders>
            <w:vAlign w:val="bottom"/>
          </w:tcPr>
          <w:p>
            <w:pPr>
              <w:shd w:val="clear"/>
              <w:adjustRightInd/>
              <w:snapToGrid/>
              <w:spacing w:after="0"/>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P.教育业</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8"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hAnsi="仿宋" w:eastAsia="仿宋_GB2312" w:cs="Tahoma"/>
                <w:color w:val="auto"/>
                <w:sz w:val="28"/>
                <w:szCs w:val="28"/>
                <w:highlight w:val="none"/>
              </w:rPr>
            </w:pPr>
            <w:r>
              <w:rPr>
                <w:rFonts w:hint="eastAsia" w:ascii="仿宋_GB2312" w:hAnsi="仿宋" w:eastAsia="仿宋_GB2312" w:cs="Tahoma"/>
                <w:color w:val="auto"/>
                <w:sz w:val="28"/>
                <w:szCs w:val="28"/>
                <w:highlight w:val="none"/>
              </w:rPr>
              <w:t>0</w:t>
            </w:r>
          </w:p>
        </w:tc>
        <w:tc>
          <w:tcPr>
            <w:tcW w:w="1489" w:type="dxa"/>
            <w:tcBorders>
              <w:top w:val="nil"/>
              <w:left w:val="nil"/>
              <w:bottom w:val="single" w:color="auto" w:sz="4" w:space="0"/>
              <w:right w:val="single" w:color="auto" w:sz="4" w:space="0"/>
            </w:tcBorders>
            <w:shd w:val="clear" w:color="auto" w:fill="auto"/>
            <w:vAlign w:val="bottom"/>
          </w:tcPr>
          <w:p>
            <w:pPr>
              <w:shd w:val="clear"/>
              <w:adjustRightInd/>
              <w:snapToGrid/>
              <w:spacing w:after="0"/>
              <w:jc w:val="center"/>
              <w:rPr>
                <w:rFonts w:ascii="仿宋_GB2312" w:eastAsia="仿宋_GB2312" w:cs="Tahoma"/>
                <w:color w:val="auto"/>
                <w:sz w:val="28"/>
                <w:szCs w:val="28"/>
                <w:highlight w:val="none"/>
              </w:rPr>
            </w:pPr>
            <w:r>
              <w:rPr>
                <w:rFonts w:hint="eastAsia" w:ascii="仿宋_GB2312" w:eastAsia="仿宋_GB2312" w:cs="Tahoma"/>
                <w:color w:val="auto"/>
                <w:sz w:val="28"/>
                <w:szCs w:val="28"/>
                <w:highlight w:val="none"/>
              </w:rPr>
              <w:t>0</w:t>
            </w:r>
          </w:p>
        </w:tc>
      </w:tr>
    </w:tbl>
    <w:p>
      <w:pPr>
        <w:pStyle w:val="4"/>
        <w:shd w:val="clear" w:color="auto" w:fill="FFFFFF"/>
        <w:spacing w:before="0" w:beforeAutospacing="0" w:after="0" w:afterAutospacing="0" w:line="560" w:lineRule="exact"/>
        <w:ind w:firstLine="600" w:firstLineChars="200"/>
        <w:rPr>
          <w:rFonts w:ascii="仿宋_GB2312" w:hAnsi="微软雅黑" w:eastAsia="仿宋_GB2312"/>
          <w:color w:val="auto"/>
          <w:sz w:val="30"/>
          <w:szCs w:val="30"/>
          <w:highlight w:val="none"/>
        </w:rPr>
      </w:pPr>
      <w:r>
        <w:rPr>
          <w:rFonts w:hint="eastAsia" w:ascii="仿宋_GB2312" w:hAnsi="微软雅黑" w:eastAsia="仿宋_GB2312"/>
          <w:color w:val="auto"/>
          <w:sz w:val="30"/>
          <w:szCs w:val="30"/>
          <w:highlight w:val="none"/>
        </w:rPr>
        <w:t>报告期末，五级分类不良贷款余额</w:t>
      </w:r>
      <w:r>
        <w:rPr>
          <w:rFonts w:hint="eastAsia" w:ascii="仿宋_GB2312" w:hAnsi="微软雅黑" w:eastAsia="仿宋_GB2312"/>
          <w:color w:val="auto"/>
          <w:sz w:val="30"/>
          <w:szCs w:val="30"/>
          <w:highlight w:val="none"/>
          <w:lang w:val="en-US" w:eastAsia="zh-CN"/>
        </w:rPr>
        <w:t>71950</w:t>
      </w:r>
      <w:r>
        <w:rPr>
          <w:rFonts w:hint="eastAsia" w:ascii="仿宋_GB2312" w:hAnsi="微软雅黑" w:eastAsia="仿宋_GB2312"/>
          <w:color w:val="auto"/>
          <w:sz w:val="30"/>
          <w:szCs w:val="30"/>
          <w:highlight w:val="none"/>
        </w:rPr>
        <w:t>万元，不良贷款率为</w:t>
      </w:r>
      <w:r>
        <w:rPr>
          <w:rFonts w:hint="eastAsia" w:ascii="仿宋_GB2312" w:hAnsi="微软雅黑" w:eastAsia="仿宋_GB2312"/>
          <w:color w:val="auto"/>
          <w:sz w:val="30"/>
          <w:szCs w:val="30"/>
          <w:highlight w:val="none"/>
          <w:lang w:val="en-US" w:eastAsia="zh-CN"/>
        </w:rPr>
        <w:t>4.57</w:t>
      </w:r>
      <w:r>
        <w:rPr>
          <w:rFonts w:hint="eastAsia" w:ascii="仿宋_GB2312" w:hAnsi="微软雅黑" w:eastAsia="仿宋_GB2312"/>
          <w:color w:val="auto"/>
          <w:sz w:val="30"/>
          <w:szCs w:val="30"/>
          <w:highlight w:val="none"/>
        </w:rPr>
        <w:t>%。期间不良贷款的化解主要采取了以下措施：一是加大考核奖惩力度，制定了有效的不良贷款清收考核奖励办法。二是实行了班子领导分片包干化解督导制度。三是加大依法清收和贷款案件的执行力度，最大限度地维护合法债权。四是积极开展信贷综合整治活动，加强了对贷款业务的深度清理排查和整改，通过边查边改边追责，使不良贷款压降工作取得了一定成效。五是联合公安、法院等部门开展打击恶意逃废债行为，优化信用环境建设。</w:t>
      </w:r>
    </w:p>
    <w:p>
      <w:pPr>
        <w:spacing w:beforeLines="50"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3.4 .2  贷款集中度及关联度情况</w:t>
      </w:r>
    </w:p>
    <w:p>
      <w:pPr>
        <w:pStyle w:val="4"/>
        <w:shd w:val="clear" w:color="auto" w:fill="FFFFFF"/>
        <w:spacing w:before="0" w:beforeAutospacing="0" w:after="0" w:afterAutospacing="0" w:line="560" w:lineRule="exact"/>
        <w:ind w:firstLine="600" w:firstLineChars="200"/>
        <w:rPr>
          <w:rFonts w:ascii="仿宋_GB2312" w:hAnsi="微软雅黑" w:eastAsia="仿宋_GB2312"/>
          <w:color w:val="auto"/>
          <w:sz w:val="30"/>
          <w:szCs w:val="30"/>
          <w:highlight w:val="none"/>
        </w:rPr>
      </w:pPr>
      <w:r>
        <w:rPr>
          <w:rFonts w:hint="eastAsia" w:ascii="仿宋_GB2312" w:hAnsi="微软雅黑" w:eastAsia="仿宋_GB2312"/>
          <w:color w:val="auto"/>
          <w:sz w:val="30"/>
          <w:szCs w:val="30"/>
          <w:highlight w:val="none"/>
        </w:rPr>
        <w:t>报告期内，本行非常重视授信集中度和关联度的风险管理，主要采取的管理措施：一是加强对集团客户及其关联企业的识别，搜集核查关联客户相关信息，切实防范关联方之间相互担保的风险，防止对集团客户多头、过度授信；二是加强对集团客户授信后管理，加大对集团客户子公司的风险监测力度，提高风险预警能力；三是坚持多措并举，采取部分压缩、</w:t>
      </w:r>
      <w:r>
        <w:rPr>
          <w:rFonts w:hint="eastAsia" w:ascii="仿宋_GB2312" w:hAnsi="微软雅黑" w:eastAsia="仿宋_GB2312"/>
          <w:color w:val="auto"/>
          <w:sz w:val="30"/>
          <w:szCs w:val="30"/>
          <w:highlight w:val="none"/>
          <w:lang w:val="en-US" w:eastAsia="zh-CN"/>
        </w:rPr>
        <w:t>社团</w:t>
      </w:r>
      <w:r>
        <w:rPr>
          <w:rFonts w:hint="eastAsia" w:ascii="仿宋_GB2312" w:hAnsi="微软雅黑" w:eastAsia="仿宋_GB2312"/>
          <w:color w:val="auto"/>
          <w:sz w:val="30"/>
          <w:szCs w:val="30"/>
          <w:highlight w:val="none"/>
        </w:rPr>
        <w:t>贷款等多种方式，解决单一和集团授信超比例问题，有效防范了授信集中风险。</w:t>
      </w:r>
    </w:p>
    <w:p>
      <w:pPr>
        <w:spacing w:beforeLines="50"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3.4 .3  信用风险管理</w:t>
      </w:r>
    </w:p>
    <w:p>
      <w:pPr>
        <w:pStyle w:val="4"/>
        <w:shd w:val="clear" w:color="auto" w:fill="FFFFFF"/>
        <w:spacing w:before="0" w:beforeAutospacing="0" w:after="0" w:afterAutospacing="0" w:line="560" w:lineRule="exact"/>
        <w:ind w:firstLine="600" w:firstLineChars="200"/>
        <w:rPr>
          <w:rFonts w:ascii="仿宋_GB2312" w:hAnsi="微软雅黑" w:eastAsia="仿宋_GB2312"/>
          <w:color w:val="auto"/>
          <w:sz w:val="30"/>
          <w:szCs w:val="30"/>
          <w:highlight w:val="none"/>
        </w:rPr>
      </w:pPr>
      <w:r>
        <w:rPr>
          <w:rFonts w:hint="eastAsia" w:ascii="仿宋_GB2312" w:hAnsi="微软雅黑" w:eastAsia="仿宋_GB2312"/>
          <w:color w:val="auto"/>
          <w:sz w:val="30"/>
          <w:szCs w:val="30"/>
          <w:highlight w:val="none"/>
        </w:rPr>
        <w:t>报告期本行努力建设职能独立、风险制衡的信用风险管理体系，严格贷前信用征信查询制度，并执行覆盖全行范围的信用风险识别、计量、监控、管理政策和流程，以确保风险和收益得到均衡。</w:t>
      </w:r>
    </w:p>
    <w:p>
      <w:pPr>
        <w:pStyle w:val="4"/>
        <w:shd w:val="clear" w:color="auto" w:fill="FFFFFF"/>
        <w:spacing w:before="0" w:beforeAutospacing="0" w:after="0" w:afterAutospacing="0" w:line="560" w:lineRule="exact"/>
        <w:ind w:firstLine="600" w:firstLineChars="200"/>
        <w:rPr>
          <w:rFonts w:ascii="仿宋_GB2312" w:hAnsi="微软雅黑" w:eastAsia="仿宋_GB2312"/>
          <w:color w:val="auto"/>
          <w:sz w:val="30"/>
          <w:szCs w:val="30"/>
          <w:highlight w:val="none"/>
        </w:rPr>
      </w:pPr>
      <w:r>
        <w:rPr>
          <w:rFonts w:hint="eastAsia" w:ascii="仿宋_GB2312" w:hAnsi="微软雅黑" w:eastAsia="仿宋_GB2312"/>
          <w:color w:val="auto"/>
          <w:sz w:val="30"/>
          <w:szCs w:val="30"/>
          <w:highlight w:val="none"/>
        </w:rPr>
        <w:t>本行设立的风险管理委员会，在权限内，审议并决策重大信贷等业务。成立的贷款审批委员会，对大额贷款进行审批决策。本行风险管理部负责贷款风险的识别、计量、管理等工作。</w:t>
      </w:r>
    </w:p>
    <w:p>
      <w:pPr>
        <w:pStyle w:val="4"/>
        <w:shd w:val="clear" w:color="auto" w:fill="FFFFFF"/>
        <w:spacing w:before="0" w:beforeAutospacing="0" w:after="0" w:afterAutospacing="0" w:line="560" w:lineRule="exact"/>
        <w:ind w:firstLine="600" w:firstLineChars="200"/>
        <w:rPr>
          <w:rFonts w:ascii="仿宋_GB2312" w:hAnsi="微软雅黑" w:eastAsia="仿宋_GB2312"/>
          <w:color w:val="auto"/>
          <w:sz w:val="30"/>
          <w:szCs w:val="30"/>
          <w:highlight w:val="none"/>
        </w:rPr>
      </w:pPr>
      <w:r>
        <w:rPr>
          <w:rFonts w:hint="eastAsia" w:ascii="仿宋_GB2312" w:hAnsi="微软雅黑" w:eastAsia="仿宋_GB2312"/>
          <w:color w:val="auto"/>
          <w:sz w:val="30"/>
          <w:szCs w:val="30"/>
          <w:highlight w:val="none"/>
        </w:rPr>
        <w:t>本行对包括授信调查和申报、授信审查审批、贷款发放、贷后监控和不良贷款管理等环节的信贷业务全流程实行规范化管理，并严格按照银监会制定的《贷款风险分类指引》准确分类，监控贷款信用风险。</w:t>
      </w:r>
    </w:p>
    <w:p>
      <w:pPr>
        <w:pStyle w:val="4"/>
        <w:shd w:val="clear" w:color="auto" w:fill="FFFFFF"/>
        <w:spacing w:before="0" w:beforeAutospacing="0" w:after="0" w:afterAutospacing="0" w:line="560" w:lineRule="exact"/>
        <w:ind w:firstLine="600" w:firstLineChars="200"/>
        <w:rPr>
          <w:rFonts w:ascii="仿宋_GB2312" w:hAnsi="微软雅黑" w:eastAsia="仿宋_GB2312"/>
          <w:color w:val="auto"/>
          <w:sz w:val="30"/>
          <w:szCs w:val="30"/>
          <w:highlight w:val="none"/>
        </w:rPr>
      </w:pPr>
      <w:r>
        <w:rPr>
          <w:rFonts w:hint="eastAsia" w:ascii="仿宋_GB2312" w:hAnsi="微软雅黑" w:eastAsia="仿宋_GB2312"/>
          <w:color w:val="auto"/>
          <w:sz w:val="30"/>
          <w:szCs w:val="30"/>
          <w:highlight w:val="none"/>
        </w:rPr>
        <w:t>本行实行分级审批制度，在综合考虑申请人信用状况、财务状况、抵质押物和保证情况、信贷组合总体信用风险、宏观调控政策以及法律法规限制等各种因素，确定授信限额，结合国家宏观调控趋势，加强信贷业务的政策动态指引和行业差异化管理，不断提高全行贷款结构分布的合理性。一是严格执行贷款“三查”流程和审贷分离制度，根据信贷业务各风险控制环节，制定互相制约的工作岗位及职责，确保信用风险管理流程的有效实施。客户经理负责评估申请人和申请业务的信用风险，并负责实施贷后的定期和不定期监控。二是强化对不良贷款问责，制定了不良贷款责任认定和追究制度，提高信贷经营管理人员风险责任意识，有效提高了信贷质量。三是有效化解不良资产。本行主要通过催收、重组、执行处置抵质押物或向担保方追索、诉讼或仲裁、按有关规定核销等方式，对不良贷款进行管理，尽可能降低本行遭受的信用风险损失程度。四是对资金业务(包括债权性投资)，本行对涉及的同业及债券发行主体实行总行统一审查审批，并实行额度管理，通过谨慎选择同业、平衡信用风险与投资收益率、参考外部信用评级信息、审查调整投资额度等方式，对资金业务的信用风险进行管理。五是持续加大信用风险排查力度，开展如押品专项风险排查等，保证本行信用风险基本可控。</w:t>
      </w:r>
    </w:p>
    <w:p>
      <w:pPr>
        <w:shd w:val="clear" w:color="auto" w:fill="FFFFFF"/>
        <w:adjustRightInd/>
        <w:snapToGrid/>
        <w:spacing w:before="360" w:after="360" w:line="560" w:lineRule="exact"/>
        <w:ind w:firstLine="602" w:firstLineChars="200"/>
        <w:outlineLvl w:val="1"/>
        <w:rPr>
          <w:rFonts w:ascii="黑体" w:hAnsi="黑体" w:eastAsia="黑体" w:cs="宋体"/>
          <w:b/>
          <w:bCs/>
          <w:color w:val="auto"/>
          <w:sz w:val="30"/>
          <w:szCs w:val="30"/>
          <w:highlight w:val="none"/>
        </w:rPr>
      </w:pPr>
      <w:bookmarkStart w:id="50" w:name="_Toc219474571"/>
      <w:bookmarkEnd w:id="50"/>
      <w:bookmarkStart w:id="51" w:name="_Toc219552572"/>
      <w:bookmarkEnd w:id="51"/>
      <w:bookmarkStart w:id="52" w:name="_Toc203486377"/>
      <w:bookmarkEnd w:id="52"/>
      <w:bookmarkStart w:id="53" w:name="_Toc219553412"/>
      <w:bookmarkEnd w:id="53"/>
      <w:r>
        <w:rPr>
          <w:rFonts w:hint="eastAsia" w:ascii="黑体" w:hAnsi="黑体" w:eastAsia="黑体" w:cs="宋体"/>
          <w:b/>
          <w:bCs/>
          <w:color w:val="auto"/>
          <w:sz w:val="30"/>
          <w:szCs w:val="30"/>
          <w:highlight w:val="none"/>
        </w:rPr>
        <w:t>3.5流动性风险状况及管理</w:t>
      </w:r>
    </w:p>
    <w:p>
      <w:pPr>
        <w:spacing w:beforeLines="50"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3.5.1流动性风险指标</w:t>
      </w:r>
    </w:p>
    <w:p>
      <w:pPr>
        <w:shd w:val="clear" w:color="auto" w:fill="FFFFFF"/>
        <w:adjustRightInd/>
        <w:snapToGrid/>
        <w:spacing w:before="100" w:beforeAutospacing="1" w:after="100" w:afterAutospacing="1" w:line="585" w:lineRule="atLeast"/>
        <w:ind w:firstLine="660"/>
        <w:jc w:val="both"/>
        <w:rPr>
          <w:rFonts w:ascii="仿宋_GB2312" w:hAnsi="微软雅黑" w:eastAsia="仿宋_GB2312" w:cs="宋体"/>
          <w:color w:val="auto"/>
          <w:sz w:val="30"/>
          <w:szCs w:val="30"/>
          <w:highlight w:val="none"/>
        </w:rPr>
      </w:pPr>
      <w:r>
        <w:rPr>
          <w:rFonts w:hint="eastAsia" w:ascii="仿宋_GB2312" w:hAnsi="微软雅黑" w:eastAsia="仿宋_GB2312" w:cs="宋体"/>
          <w:b/>
          <w:color w:val="auto"/>
          <w:sz w:val="30"/>
          <w:szCs w:val="30"/>
          <w:highlight w:val="none"/>
        </w:rPr>
        <w:t>表3-7　　　 流动性指标表　　　　　　　　单位：%</w:t>
      </w:r>
      <w:bookmarkStart w:id="113" w:name="_GoBack"/>
      <w:bookmarkEnd w:id="113"/>
    </w:p>
    <w:tbl>
      <w:tblPr>
        <w:tblStyle w:val="5"/>
        <w:tblW w:w="8484" w:type="dxa"/>
        <w:tblCellSpacing w:w="0" w:type="dxa"/>
        <w:tblInd w:w="0" w:type="dxa"/>
        <w:tblLayout w:type="fixed"/>
        <w:tblCellMar>
          <w:top w:w="0" w:type="dxa"/>
          <w:left w:w="0" w:type="dxa"/>
          <w:bottom w:w="0" w:type="dxa"/>
          <w:right w:w="0" w:type="dxa"/>
        </w:tblCellMar>
      </w:tblPr>
      <w:tblGrid>
        <w:gridCol w:w="2955"/>
        <w:gridCol w:w="1382"/>
        <w:gridCol w:w="1577"/>
        <w:gridCol w:w="1577"/>
        <w:gridCol w:w="993"/>
      </w:tblGrid>
      <w:tr>
        <w:tblPrEx>
          <w:tblCellMar>
            <w:top w:w="0" w:type="dxa"/>
            <w:left w:w="0" w:type="dxa"/>
            <w:bottom w:w="0" w:type="dxa"/>
            <w:right w:w="0" w:type="dxa"/>
          </w:tblCellMar>
        </w:tblPrEx>
        <w:trPr>
          <w:trHeight w:val="845" w:hRule="atLeast"/>
          <w:tblCellSpacing w:w="0" w:type="dxa"/>
        </w:trPr>
        <w:tc>
          <w:tcPr>
            <w:tcW w:w="29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指      标</w:t>
            </w:r>
          </w:p>
        </w:tc>
        <w:tc>
          <w:tcPr>
            <w:tcW w:w="13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监管要求</w:t>
            </w:r>
          </w:p>
        </w:tc>
        <w:tc>
          <w:tcPr>
            <w:tcW w:w="15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w:t>
            </w:r>
            <w:r>
              <w:rPr>
                <w:rFonts w:hint="eastAsia" w:ascii="仿宋_GB2312" w:hAnsi="宋体" w:eastAsia="仿宋_GB2312" w:cs="宋体"/>
                <w:color w:val="auto"/>
                <w:sz w:val="28"/>
                <w:szCs w:val="28"/>
                <w:highlight w:val="none"/>
                <w:lang w:val="en-US" w:eastAsia="zh-CN"/>
              </w:rPr>
              <w:t>022</w:t>
            </w:r>
            <w:r>
              <w:rPr>
                <w:rFonts w:hint="eastAsia" w:ascii="仿宋_GB2312" w:hAnsi="宋体" w:eastAsia="仿宋_GB2312" w:cs="宋体"/>
                <w:color w:val="auto"/>
                <w:sz w:val="28"/>
                <w:szCs w:val="28"/>
                <w:highlight w:val="none"/>
              </w:rPr>
              <w:t>年末</w:t>
            </w:r>
          </w:p>
        </w:tc>
        <w:tc>
          <w:tcPr>
            <w:tcW w:w="15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2</w:t>
            </w:r>
            <w:r>
              <w:rPr>
                <w:rFonts w:hint="eastAsia" w:ascii="仿宋_GB2312" w:hAnsi="宋体" w:eastAsia="仿宋_GB2312" w:cs="宋体"/>
                <w:color w:val="auto"/>
                <w:sz w:val="28"/>
                <w:szCs w:val="28"/>
                <w:highlight w:val="none"/>
                <w:lang w:val="en-US" w:eastAsia="zh-CN"/>
              </w:rPr>
              <w:t>021</w:t>
            </w:r>
            <w:r>
              <w:rPr>
                <w:rFonts w:hint="eastAsia" w:ascii="仿宋_GB2312" w:hAnsi="宋体" w:eastAsia="仿宋_GB2312" w:cs="宋体"/>
                <w:color w:val="auto"/>
                <w:sz w:val="28"/>
                <w:szCs w:val="28"/>
                <w:highlight w:val="none"/>
              </w:rPr>
              <w:t>年末</w:t>
            </w:r>
          </w:p>
        </w:tc>
        <w:tc>
          <w:tcPr>
            <w:tcW w:w="993" w:type="dxa"/>
            <w:tcBorders>
              <w:top w:val="single" w:color="auto" w:sz="6" w:space="0"/>
              <w:left w:val="nil"/>
              <w:bottom w:val="single" w:color="auto" w:sz="6" w:space="0"/>
              <w:right w:val="single" w:color="auto" w:sz="6" w:space="0"/>
            </w:tcBorders>
            <w:vAlign w:val="center"/>
          </w:tcPr>
          <w:p>
            <w:pPr>
              <w:adjustRightInd/>
              <w:snapToGrid/>
              <w:spacing w:before="100" w:beforeAutospacing="1" w:after="100" w:afterAutospacing="1"/>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增减</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line="405" w:lineRule="atLeast"/>
              <w:jc w:val="center"/>
              <w:rPr>
                <w:rFonts w:ascii="宋体" w:hAnsi="宋体" w:eastAsia="宋体" w:cs="宋体"/>
                <w:color w:val="auto"/>
                <w:sz w:val="28"/>
                <w:szCs w:val="28"/>
                <w:highlight w:val="none"/>
              </w:rPr>
            </w:pPr>
            <w:r>
              <w:rPr>
                <w:rFonts w:hint="eastAsia" w:ascii="仿宋_GB2312" w:hAnsi="宋体" w:eastAsia="仿宋_GB2312" w:cs="宋体"/>
                <w:color w:val="auto"/>
                <w:sz w:val="28"/>
                <w:szCs w:val="28"/>
                <w:highlight w:val="none"/>
              </w:rPr>
              <w:t>流动性比例</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140"/>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≥25</w:t>
            </w:r>
            <w:r>
              <w:rPr>
                <w:rFonts w:hint="eastAsia" w:ascii="仿宋_GB2312" w:hAnsi="微软雅黑" w:eastAsia="仿宋_GB2312" w:cs="宋体"/>
                <w:b/>
                <w:color w:val="auto"/>
                <w:sz w:val="24"/>
                <w:szCs w:val="24"/>
                <w:highlight w:val="none"/>
              </w:rPr>
              <w:t>%</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仿宋_GB2312"/>
                <w:i w:val="0"/>
                <w:color w:val="000000"/>
                <w:kern w:val="0"/>
                <w:sz w:val="28"/>
                <w:szCs w:val="28"/>
                <w:highlight w:val="none"/>
                <w:u w:val="none"/>
                <w:lang w:val="en-US" w:eastAsia="zh-CN" w:bidi="ar"/>
              </w:rPr>
              <w:t>83.42</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8"/>
                <w:szCs w:val="28"/>
                <w:highlight w:val="none"/>
              </w:rPr>
            </w:pPr>
            <w:r>
              <w:rPr>
                <w:rFonts w:hint="eastAsia" w:ascii="仿宋_GB2312" w:hAnsi="宋体" w:eastAsia="仿宋_GB2312" w:cs="仿宋_GB2312"/>
                <w:i w:val="0"/>
                <w:color w:val="000000"/>
                <w:kern w:val="0"/>
                <w:sz w:val="28"/>
                <w:szCs w:val="28"/>
                <w:highlight w:val="none"/>
                <w:u w:val="none"/>
                <w:lang w:val="en-US" w:eastAsia="zh-CN" w:bidi="ar"/>
              </w:rPr>
              <w:t>61.19</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仿宋_GB2312"/>
                <w:i w:val="0"/>
                <w:color w:val="000000"/>
                <w:kern w:val="0"/>
                <w:sz w:val="28"/>
                <w:szCs w:val="28"/>
                <w:highlight w:val="none"/>
                <w:u w:val="none"/>
                <w:lang w:val="en-US" w:eastAsia="zh-CN" w:bidi="ar"/>
              </w:rPr>
              <w:t>22.23</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line="405" w:lineRule="atLeast"/>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流动性缺口率</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20"/>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≥-10%</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仿宋_GB2312"/>
                <w:i w:val="0"/>
                <w:color w:val="000000"/>
                <w:kern w:val="0"/>
                <w:sz w:val="28"/>
                <w:szCs w:val="28"/>
                <w:highlight w:val="none"/>
                <w:u w:val="none"/>
                <w:lang w:val="en-US" w:eastAsia="zh-CN" w:bidi="ar"/>
              </w:rPr>
              <w:t>47.66</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8"/>
                <w:szCs w:val="28"/>
                <w:highlight w:val="none"/>
              </w:rPr>
            </w:pPr>
            <w:r>
              <w:rPr>
                <w:rFonts w:hint="eastAsia" w:ascii="仿宋_GB2312" w:hAnsi="宋体" w:eastAsia="仿宋_GB2312" w:cs="仿宋_GB2312"/>
                <w:i w:val="0"/>
                <w:color w:val="000000"/>
                <w:kern w:val="0"/>
                <w:sz w:val="28"/>
                <w:szCs w:val="28"/>
                <w:highlight w:val="none"/>
                <w:u w:val="none"/>
                <w:lang w:val="en-US" w:eastAsia="zh-CN" w:bidi="ar"/>
              </w:rPr>
              <w:t>52.28</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仿宋_GB2312"/>
                <w:i w:val="0"/>
                <w:color w:val="000000"/>
                <w:kern w:val="0"/>
                <w:sz w:val="28"/>
                <w:szCs w:val="28"/>
                <w:highlight w:val="none"/>
                <w:u w:val="none"/>
                <w:lang w:val="en-US" w:eastAsia="zh-CN" w:bidi="ar"/>
              </w:rPr>
              <w:t>-4.62</w:t>
            </w:r>
          </w:p>
        </w:tc>
      </w:tr>
      <w:tr>
        <w:tblPrEx>
          <w:tblCellMar>
            <w:top w:w="0" w:type="dxa"/>
            <w:left w:w="0" w:type="dxa"/>
            <w:bottom w:w="0" w:type="dxa"/>
            <w:right w:w="0" w:type="dxa"/>
          </w:tblCellMar>
        </w:tblPrEx>
        <w:trPr>
          <w:trHeight w:val="300" w:hRule="atLeast"/>
          <w:tblCellSpacing w:w="0" w:type="dxa"/>
        </w:trPr>
        <w:tc>
          <w:tcPr>
            <w:tcW w:w="29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line="405" w:lineRule="atLeast"/>
              <w:jc w:val="center"/>
              <w:rPr>
                <w:rFonts w:ascii="仿宋_GB2312" w:hAnsi="宋体" w:eastAsia="仿宋_GB2312" w:cs="宋体"/>
                <w:color w:val="auto"/>
                <w:sz w:val="28"/>
                <w:szCs w:val="28"/>
                <w:highlight w:val="none"/>
              </w:rPr>
            </w:pPr>
            <w:r>
              <w:rPr>
                <w:rFonts w:hint="eastAsia" w:ascii="仿宋_GB2312" w:hAnsi="宋体" w:eastAsia="仿宋_GB2312" w:cs="宋体"/>
                <w:color w:val="auto"/>
                <w:sz w:val="28"/>
                <w:szCs w:val="28"/>
                <w:highlight w:val="none"/>
              </w:rPr>
              <w:t>核心负债依存度</w:t>
            </w:r>
          </w:p>
        </w:tc>
        <w:tc>
          <w:tcPr>
            <w:tcW w:w="13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snapToGrid/>
              <w:spacing w:before="100" w:beforeAutospacing="1" w:after="100" w:afterAutospacing="1"/>
              <w:ind w:right="140"/>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≥60</w:t>
            </w:r>
            <w:r>
              <w:rPr>
                <w:rFonts w:hint="eastAsia" w:ascii="仿宋_GB2312" w:hAnsi="微软雅黑" w:eastAsia="仿宋_GB2312" w:cs="宋体"/>
                <w:b/>
                <w:color w:val="auto"/>
                <w:sz w:val="24"/>
                <w:szCs w:val="24"/>
                <w:highlight w:val="none"/>
              </w:rPr>
              <w:t>%</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仿宋_GB2312"/>
                <w:i w:val="0"/>
                <w:color w:val="000000"/>
                <w:kern w:val="0"/>
                <w:sz w:val="28"/>
                <w:szCs w:val="28"/>
                <w:highlight w:val="none"/>
                <w:u w:val="none"/>
                <w:lang w:val="en-US" w:eastAsia="zh-CN" w:bidi="ar"/>
              </w:rPr>
              <w:t>82.61</w:t>
            </w:r>
          </w:p>
        </w:tc>
        <w:tc>
          <w:tcPr>
            <w:tcW w:w="1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bottom"/>
          </w:tcPr>
          <w:p>
            <w:pPr>
              <w:keepNext w:val="0"/>
              <w:keepLines w:val="0"/>
              <w:widowControl/>
              <w:suppressLineNumbers w:val="0"/>
              <w:jc w:val="center"/>
              <w:textAlignment w:val="bottom"/>
              <w:rPr>
                <w:rFonts w:ascii="仿宋_GB2312" w:hAnsi="宋体" w:eastAsia="仿宋_GB2312" w:cs="宋体"/>
                <w:color w:val="auto"/>
                <w:sz w:val="28"/>
                <w:szCs w:val="28"/>
                <w:highlight w:val="none"/>
              </w:rPr>
            </w:pPr>
            <w:r>
              <w:rPr>
                <w:rFonts w:hint="eastAsia" w:ascii="仿宋_GB2312" w:hAnsi="宋体" w:eastAsia="仿宋_GB2312" w:cs="仿宋_GB2312"/>
                <w:i w:val="0"/>
                <w:color w:val="000000"/>
                <w:kern w:val="0"/>
                <w:sz w:val="28"/>
                <w:szCs w:val="28"/>
                <w:highlight w:val="none"/>
                <w:u w:val="none"/>
                <w:lang w:val="en-US" w:eastAsia="zh-CN" w:bidi="ar"/>
              </w:rPr>
              <w:t>80.28</w:t>
            </w:r>
          </w:p>
        </w:tc>
        <w:tc>
          <w:tcPr>
            <w:tcW w:w="993" w:type="dxa"/>
            <w:tcBorders>
              <w:top w:val="nil"/>
              <w:left w:val="nil"/>
              <w:bottom w:val="single" w:color="auto" w:sz="6" w:space="0"/>
              <w:right w:val="single" w:color="auto" w:sz="6" w:space="0"/>
            </w:tcBorders>
            <w:shd w:val="clear" w:color="auto" w:fill="auto"/>
            <w:vAlign w:val="bottom"/>
          </w:tcPr>
          <w:p>
            <w:pPr>
              <w:keepNext w:val="0"/>
              <w:keepLines w:val="0"/>
              <w:widowControl/>
              <w:suppressLineNumbers w:val="0"/>
              <w:jc w:val="center"/>
              <w:textAlignment w:val="bottom"/>
              <w:rPr>
                <w:rFonts w:hint="default" w:ascii="仿宋_GB2312" w:hAnsi="宋体" w:eastAsia="仿宋_GB2312" w:cs="宋体"/>
                <w:color w:val="auto"/>
                <w:sz w:val="28"/>
                <w:szCs w:val="28"/>
                <w:highlight w:val="none"/>
                <w:lang w:val="en-US" w:eastAsia="zh-CN"/>
              </w:rPr>
            </w:pPr>
            <w:r>
              <w:rPr>
                <w:rFonts w:hint="eastAsia" w:ascii="仿宋_GB2312" w:hAnsi="宋体" w:eastAsia="仿宋_GB2312" w:cs="仿宋_GB2312"/>
                <w:i w:val="0"/>
                <w:color w:val="000000"/>
                <w:kern w:val="0"/>
                <w:sz w:val="28"/>
                <w:szCs w:val="28"/>
                <w:highlight w:val="none"/>
                <w:u w:val="none"/>
                <w:lang w:val="en-US" w:eastAsia="zh-CN" w:bidi="ar"/>
              </w:rPr>
              <w:t>2.33</w:t>
            </w:r>
          </w:p>
        </w:tc>
      </w:tr>
    </w:tbl>
    <w:p>
      <w:pPr>
        <w:shd w:val="clear" w:color="auto" w:fill="FFFFFF"/>
        <w:adjustRightInd/>
        <w:snapToGrid/>
        <w:spacing w:before="100" w:beforeAutospacing="1" w:after="100" w:afterAutospacing="1" w:line="600" w:lineRule="atLeast"/>
        <w:ind w:firstLine="6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20</w:t>
      </w:r>
      <w:r>
        <w:rPr>
          <w:rFonts w:hint="eastAsia" w:ascii="仿宋_GB2312" w:hAnsi="仿宋" w:eastAsia="仿宋_GB2312" w:cs="宋体"/>
          <w:color w:val="auto"/>
          <w:sz w:val="30"/>
          <w:szCs w:val="30"/>
          <w:highlight w:val="none"/>
          <w:lang w:val="en-US" w:eastAsia="zh-CN"/>
        </w:rPr>
        <w:t>22</w:t>
      </w:r>
      <w:r>
        <w:rPr>
          <w:rFonts w:hint="eastAsia" w:ascii="仿宋_GB2312" w:hAnsi="仿宋" w:eastAsia="仿宋_GB2312" w:cs="宋体"/>
          <w:color w:val="auto"/>
          <w:sz w:val="30"/>
          <w:szCs w:val="30"/>
          <w:highlight w:val="none"/>
        </w:rPr>
        <w:t>年末，本行流动性比例等主要流动性指标均符合监管要求。</w:t>
      </w:r>
    </w:p>
    <w:p>
      <w:pPr>
        <w:spacing w:beforeLines="50" w:afterLines="50" w:line="560" w:lineRule="exact"/>
        <w:ind w:firstLine="602" w:firstLineChars="2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3.5.2 流动性风险管理</w:t>
      </w:r>
    </w:p>
    <w:p>
      <w:pPr>
        <w:adjustRightInd/>
        <w:snapToGrid/>
        <w:spacing w:after="0" w:line="560" w:lineRule="exact"/>
        <w:ind w:firstLine="600" w:firstLineChars="200"/>
        <w:rPr>
          <w:rFonts w:ascii="仿宋_GB2312" w:hAnsi="微软雅黑" w:eastAsia="仿宋_GB2312"/>
          <w:color w:val="auto"/>
          <w:sz w:val="30"/>
          <w:szCs w:val="30"/>
          <w:highlight w:val="none"/>
        </w:rPr>
      </w:pPr>
      <w:r>
        <w:rPr>
          <w:rFonts w:hint="eastAsia" w:ascii="仿宋_GB2312" w:hAnsi="仿宋" w:eastAsia="仿宋_GB2312" w:cs="宋体"/>
          <w:color w:val="auto"/>
          <w:sz w:val="30"/>
          <w:szCs w:val="30"/>
          <w:highlight w:val="none"/>
        </w:rPr>
        <w:t>本行始终把流动性风险管理放在经营管理的重要位置，制定了相关的流动性风险管理制度，</w:t>
      </w:r>
      <w:r>
        <w:rPr>
          <w:rFonts w:hint="eastAsia" w:ascii="仿宋_GB2312" w:hAnsi="微软雅黑" w:eastAsia="仿宋_GB2312"/>
          <w:color w:val="auto"/>
          <w:sz w:val="30"/>
          <w:szCs w:val="30"/>
          <w:highlight w:val="none"/>
        </w:rPr>
        <w:t>对流动性风险实施总行集中管理。总行金融市场部牵头负责对全行资金运作进行管理及日常流动性风险的监控。在预测流动性需求的基础上，制定相应的流动性管理方案，具体措施主要包括：</w:t>
      </w:r>
    </w:p>
    <w:p>
      <w:pPr>
        <w:adjustRightInd/>
        <w:snapToGrid/>
        <w:spacing w:after="0" w:line="560" w:lineRule="exact"/>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一是优化资产结构，建立分层次的流动性准备，</w:t>
      </w:r>
      <w:r>
        <w:rPr>
          <w:rFonts w:hint="eastAsia" w:ascii="仿宋_GB2312" w:hAnsi="仿宋" w:eastAsia="仿宋_GB2312"/>
          <w:color w:val="auto"/>
          <w:sz w:val="30"/>
          <w:szCs w:val="30"/>
          <w:highlight w:val="none"/>
        </w:rPr>
        <w:t>提高资金来源稳定性，依靠自身流动性资产储备确保日常流动性安全。</w:t>
      </w:r>
    </w:p>
    <w:p>
      <w:pPr>
        <w:adjustRightInd/>
        <w:snapToGrid/>
        <w:spacing w:after="0" w:line="560" w:lineRule="exact"/>
        <w:rPr>
          <w:rFonts w:ascii="仿宋_GB2312" w:hAnsi="微软雅黑" w:eastAsia="仿宋_GB2312"/>
          <w:color w:val="auto"/>
          <w:sz w:val="30"/>
          <w:szCs w:val="30"/>
          <w:highlight w:val="none"/>
        </w:rPr>
      </w:pPr>
      <w:r>
        <w:rPr>
          <w:rFonts w:hint="eastAsia" w:ascii="仿宋_GB2312" w:hAnsi="微软雅黑" w:eastAsia="仿宋_GB2312"/>
          <w:color w:val="auto"/>
          <w:sz w:val="30"/>
          <w:szCs w:val="30"/>
          <w:highlight w:val="none"/>
        </w:rPr>
        <w:t>二是</w:t>
      </w:r>
      <w:r>
        <w:rPr>
          <w:rFonts w:hint="eastAsia" w:ascii="仿宋_GB2312" w:hAnsi="仿宋" w:eastAsia="仿宋_GB2312" w:cs="宋体"/>
          <w:color w:val="auto"/>
          <w:sz w:val="30"/>
          <w:szCs w:val="30"/>
          <w:highlight w:val="none"/>
        </w:rPr>
        <w:t>完善资产业务管理的制度与流程，合理配置与调整信贷及投资等的结构，防范期限错配等流动性风险。三是</w:t>
      </w:r>
      <w:r>
        <w:rPr>
          <w:rFonts w:hint="eastAsia" w:ascii="仿宋_GB2312" w:hAnsi="微软雅黑" w:eastAsia="仿宋_GB2312"/>
          <w:color w:val="auto"/>
          <w:sz w:val="30"/>
          <w:szCs w:val="30"/>
          <w:highlight w:val="none"/>
        </w:rPr>
        <w:t>全行流动资金在总行集中管理，统一运作。总行</w:t>
      </w:r>
      <w:r>
        <w:rPr>
          <w:rFonts w:hint="eastAsia" w:ascii="仿宋_GB2312" w:hAnsi="仿宋" w:eastAsia="仿宋_GB2312" w:cs="宋体"/>
          <w:color w:val="auto"/>
          <w:sz w:val="30"/>
          <w:szCs w:val="30"/>
          <w:highlight w:val="none"/>
        </w:rPr>
        <w:t>做好资金头寸的</w:t>
      </w:r>
      <w:r>
        <w:rPr>
          <w:rFonts w:hint="eastAsia" w:ascii="仿宋_GB2312" w:hAnsi="微软雅黑" w:eastAsia="仿宋_GB2312"/>
          <w:color w:val="auto"/>
          <w:sz w:val="30"/>
          <w:szCs w:val="30"/>
          <w:highlight w:val="none"/>
        </w:rPr>
        <w:t>匡算，保持适当比例的现金及央行超额存款准备金，设置一定的参数和限额监控和管理全行流动性头寸，增加对同业往来、流动性高的债权性投资，参与公开市场、货币市场和债券市场运作，保证良好的市场融资能力</w:t>
      </w:r>
      <w:r>
        <w:rPr>
          <w:rFonts w:hint="eastAsia" w:ascii="仿宋_GB2312" w:hAnsi="仿宋" w:eastAsia="仿宋_GB2312" w:cs="宋体"/>
          <w:color w:val="auto"/>
          <w:sz w:val="30"/>
          <w:szCs w:val="30"/>
          <w:highlight w:val="none"/>
        </w:rPr>
        <w:t>。四是做好流动性监测和压力测试。定期协调相关部门对流动性风险开展压力测试，为本行流动性指标提前预警。五</w:t>
      </w:r>
      <w:r>
        <w:rPr>
          <w:rFonts w:hint="eastAsia" w:ascii="仿宋_GB2312" w:hAnsi="仿宋" w:eastAsia="仿宋_GB2312"/>
          <w:color w:val="auto"/>
          <w:sz w:val="30"/>
          <w:szCs w:val="30"/>
          <w:highlight w:val="none"/>
        </w:rPr>
        <w:t>是</w:t>
      </w:r>
      <w:r>
        <w:rPr>
          <w:rFonts w:hint="eastAsia" w:ascii="仿宋_GB2312" w:hAnsi="仿宋" w:eastAsia="仿宋_GB2312" w:cs="宋体"/>
          <w:color w:val="auto"/>
          <w:sz w:val="30"/>
          <w:szCs w:val="30"/>
          <w:highlight w:val="none"/>
        </w:rPr>
        <w:t>成立了</w:t>
      </w:r>
      <w:r>
        <w:rPr>
          <w:rFonts w:hint="eastAsia" w:ascii="仿宋_GB2312" w:hAnsi="微软雅黑" w:eastAsia="仿宋_GB2312"/>
          <w:color w:val="auto"/>
          <w:sz w:val="30"/>
          <w:szCs w:val="30"/>
          <w:highlight w:val="none"/>
        </w:rPr>
        <w:t>流动性风险</w:t>
      </w:r>
      <w:r>
        <w:rPr>
          <w:rFonts w:hint="eastAsia" w:ascii="仿宋_GB2312" w:hAnsi="仿宋" w:eastAsia="仿宋_GB2312" w:cs="宋体"/>
          <w:color w:val="auto"/>
          <w:sz w:val="30"/>
          <w:szCs w:val="30"/>
          <w:highlight w:val="none"/>
        </w:rPr>
        <w:t>应急领导小组，</w:t>
      </w:r>
      <w:r>
        <w:rPr>
          <w:rFonts w:hint="eastAsia" w:ascii="仿宋_GB2312" w:hAnsi="微软雅黑" w:eastAsia="仿宋_GB2312"/>
          <w:color w:val="auto"/>
          <w:sz w:val="30"/>
          <w:szCs w:val="30"/>
          <w:highlight w:val="none"/>
        </w:rPr>
        <w:t>建立了流动性预警机制和应急预案，密切关注指标变化及趋势，避免出现流动性风险和支付缺口。</w:t>
      </w:r>
      <w:r>
        <w:rPr>
          <w:rFonts w:hint="eastAsia" w:ascii="仿宋_GB2312" w:hAnsi="仿宋" w:eastAsia="仿宋_GB2312" w:cs="宋体"/>
          <w:color w:val="auto"/>
          <w:sz w:val="30"/>
          <w:szCs w:val="30"/>
          <w:highlight w:val="none"/>
        </w:rPr>
        <w:t>六</w:t>
      </w:r>
      <w:r>
        <w:rPr>
          <w:rFonts w:hint="eastAsia" w:ascii="仿宋_GB2312" w:hAnsi="仿宋" w:eastAsia="仿宋_GB2312"/>
          <w:color w:val="auto"/>
          <w:sz w:val="30"/>
          <w:szCs w:val="30"/>
          <w:highlight w:val="none"/>
        </w:rPr>
        <w:t>是</w:t>
      </w:r>
      <w:r>
        <w:rPr>
          <w:rFonts w:hint="eastAsia" w:ascii="仿宋_GB2312" w:hAnsi="仿宋" w:eastAsia="仿宋_GB2312" w:cs="宋体"/>
          <w:color w:val="auto"/>
          <w:sz w:val="30"/>
          <w:szCs w:val="30"/>
          <w:highlight w:val="none"/>
        </w:rPr>
        <w:t>拓宽和补充资金来源，促进存款快速稳定增长，从源头上解决流动性问题。</w:t>
      </w:r>
    </w:p>
    <w:p>
      <w:pPr>
        <w:adjustRightInd/>
        <w:snapToGrid/>
        <w:spacing w:after="0" w:line="560" w:lineRule="exact"/>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报告期内的运行态势表明，本行的流动性情况正常，各项流动性监管指标均保持达标。</w:t>
      </w:r>
    </w:p>
    <w:p>
      <w:pPr>
        <w:shd w:val="clear" w:color="auto" w:fill="FFFFFF"/>
        <w:adjustRightInd/>
        <w:snapToGrid/>
        <w:spacing w:before="360" w:after="360" w:line="560" w:lineRule="exact"/>
        <w:ind w:firstLine="602" w:firstLineChars="200"/>
        <w:outlineLvl w:val="1"/>
        <w:rPr>
          <w:rFonts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3.4  市场风险状况及管理</w:t>
      </w:r>
    </w:p>
    <w:p>
      <w:pPr>
        <w:shd w:val="clear" w:color="auto" w:fill="FFFFFF"/>
        <w:adjustRightInd/>
        <w:snapToGrid/>
        <w:spacing w:after="0" w:line="560" w:lineRule="exact"/>
        <w:ind w:firstLine="601"/>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本行严格遵守国家宏观调控政策和产业政策、监管部门资产负债比例管理的有关规定，积极建立较为有效的市场风险管理制度，努力提高对市场风险的识别、量化、监测和控制能力。本行对市场风险实施集中管理，严格执行“安全性、流动性、效益性”的管理原则，目前已经初步建立了市场风险限额管理体系，制定了市场风险管理的流程和报告机制。本行目前的市场风险主要面临利率风险及其他价格风险。防控措施主要是：一是根据同业市场竞争，合理确定存款业务的执行利率。二是结合本行资金成本、信贷需求状况制定了贷款利率定价管理办法，以适应利率市场化的新变化。信贷投放侧重于短期贷款投放，提高短期贷款占比，来规避贷款利率风险。三是强化经济政策和金融市场研究，把握市场利率变动走势，增强利率风险的主动管理，通过资产负债利率重定价期限合理搭配，主动调整浮动利率与固定利率资产的比重，应对市场利率变动，改善资产的利率敏感性。</w:t>
      </w:r>
    </w:p>
    <w:p>
      <w:pPr>
        <w:shd w:val="clear" w:color="auto" w:fill="FFFFFF"/>
        <w:adjustRightInd/>
        <w:snapToGrid/>
        <w:spacing w:before="360" w:after="360" w:line="560" w:lineRule="exact"/>
        <w:ind w:firstLine="602" w:firstLineChars="200"/>
        <w:outlineLvl w:val="1"/>
        <w:rPr>
          <w:rFonts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3.5  操作风险状况及管理</w:t>
      </w:r>
    </w:p>
    <w:p>
      <w:pPr>
        <w:shd w:val="clear" w:color="auto" w:fill="FFFFFF"/>
        <w:adjustRightInd/>
        <w:snapToGrid/>
        <w:spacing w:before="100" w:beforeAutospacing="1" w:after="100" w:afterAutospacing="1" w:line="600" w:lineRule="atLeast"/>
        <w:ind w:firstLine="600"/>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3.5.1  操作风险状况</w:t>
      </w:r>
    </w:p>
    <w:p>
      <w:pPr>
        <w:shd w:val="clear" w:color="auto" w:fill="FFFFFF"/>
        <w:adjustRightInd/>
        <w:snapToGrid/>
        <w:spacing w:after="0" w:line="560" w:lineRule="exact"/>
        <w:ind w:firstLine="601"/>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本行通过推进“流程银行”建设，强化合规与风险管理，优化业务流程、加强内部控制和合规文化建设、加大制度执行力等措施加强操作风险管理，未发生因内部程序、人员、系统的不完善、失误或外部事件造成的损失。</w:t>
      </w:r>
    </w:p>
    <w:p>
      <w:pPr>
        <w:shd w:val="clear" w:color="auto" w:fill="FFFFFF"/>
        <w:adjustRightInd/>
        <w:snapToGrid/>
        <w:spacing w:beforeLines="50" w:afterLines="50" w:line="600" w:lineRule="atLeast"/>
        <w:ind w:firstLine="601"/>
        <w:rPr>
          <w:rFonts w:ascii="楷体" w:hAnsi="楷体" w:eastAsia="楷体" w:cs="宋体"/>
          <w:b/>
          <w:bCs/>
          <w:color w:val="auto"/>
          <w:sz w:val="30"/>
          <w:szCs w:val="30"/>
          <w:highlight w:val="none"/>
        </w:rPr>
      </w:pPr>
      <w:r>
        <w:rPr>
          <w:rFonts w:hint="eastAsia" w:ascii="楷体" w:hAnsi="楷体" w:eastAsia="楷体" w:cs="宋体"/>
          <w:b/>
          <w:bCs/>
          <w:color w:val="auto"/>
          <w:sz w:val="30"/>
          <w:szCs w:val="30"/>
          <w:highlight w:val="none"/>
        </w:rPr>
        <w:t>3.5.2   操作风险管理</w:t>
      </w:r>
    </w:p>
    <w:p>
      <w:pPr>
        <w:shd w:val="clear" w:color="auto" w:fill="FFFFFF"/>
        <w:adjustRightInd/>
        <w:snapToGrid/>
        <w:spacing w:after="0" w:line="560" w:lineRule="exact"/>
        <w:ind w:firstLine="6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20</w:t>
      </w:r>
      <w:r>
        <w:rPr>
          <w:rFonts w:hint="eastAsia" w:ascii="仿宋_GB2312" w:hAnsi="仿宋" w:eastAsia="仿宋_GB2312" w:cs="宋体"/>
          <w:color w:val="auto"/>
          <w:sz w:val="30"/>
          <w:szCs w:val="30"/>
          <w:highlight w:val="none"/>
          <w:lang w:val="en-US" w:eastAsia="zh-CN"/>
        </w:rPr>
        <w:t>22</w:t>
      </w:r>
      <w:r>
        <w:rPr>
          <w:rFonts w:hint="eastAsia" w:ascii="仿宋_GB2312" w:hAnsi="仿宋" w:eastAsia="仿宋_GB2312" w:cs="宋体"/>
          <w:color w:val="auto"/>
          <w:sz w:val="30"/>
          <w:szCs w:val="30"/>
          <w:highlight w:val="none"/>
        </w:rPr>
        <w:t>年本行操作风险管理的主要措施有以下几个方面：</w:t>
      </w:r>
    </w:p>
    <w:p>
      <w:pPr>
        <w:shd w:val="clear" w:color="auto" w:fill="FFFFFF"/>
        <w:adjustRightInd/>
        <w:snapToGrid/>
        <w:spacing w:after="0" w:line="560" w:lineRule="exact"/>
        <w:ind w:firstLine="601"/>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一是修订和完善各项制度，明确操作风险管理政策和措施，完善内控机制，强化流程管理，强化各部门职能作用，提高风险防范合力，有效地防范操作风险。二是对员工实行法律法规和内控制度等知识培训及合规培训，使员工提升风险防范意识，掌握防控操作风险的技能，规范操作，提高服务效能。三是加强对账户管理、票据业务、现金、重要空白凭证、信贷管理、财务管理、资金运营管理等重点风险环节的检查和控制。加强对柜面业务的辅导和检查，全面规范柜面业务操作，重点加强银企对账管理，有效防范结算风险。四是加强远程集中授权管理，由远程授权中心，对全辖营业网点进行集中授权，消除操作风险隐患。尤其是对大额资金业务，实行分级授权，确保资金安全。五是强化监督检查和惩处力度，履行总行管理职责，开展各类稽核检查和内审，加大对前台业务审查监督的力度，努力减少业务差错率，切实防堵各类风险，确保各项业务稳健发展。六是对重要岗位进行排查，实行岗位轮换制度；定期开展廉政教育、“风险排查”等活动，对关注人员进行提醒谈话，加强风险防控。七是加强安全软、硬件设施的改造和投入，发挥科技支撑作用，有效防范信贷操作风险。八是提高全员安全防范意识，实现全年安全无事故、无案件。</w:t>
      </w:r>
    </w:p>
    <w:p>
      <w:pPr>
        <w:shd w:val="clear" w:color="auto" w:fill="FFFFFF"/>
        <w:adjustRightInd/>
        <w:snapToGrid/>
        <w:spacing w:before="360" w:after="360" w:line="560" w:lineRule="exact"/>
        <w:ind w:firstLine="602" w:firstLineChars="200"/>
        <w:outlineLvl w:val="1"/>
        <w:rPr>
          <w:rFonts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3.6  合规风险管理</w:t>
      </w:r>
    </w:p>
    <w:p>
      <w:pPr>
        <w:shd w:val="clear" w:color="auto" w:fill="FFFFFF"/>
        <w:adjustRightInd/>
        <w:snapToGrid/>
        <w:spacing w:after="0" w:line="560" w:lineRule="exact"/>
        <w:ind w:firstLine="601"/>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一是加强合规风险管理，建立健全合规风险管理体系。通过不断改进和完善合规风险管理机制和管理程序,实现对合规风险的有效识别与管控。二是加大各项制度办法出台前的合规审查力度，确保各项制度、操作规程合规。我行20</w:t>
      </w:r>
      <w:r>
        <w:rPr>
          <w:rFonts w:hint="eastAsia" w:ascii="仿宋_GB2312" w:hAnsi="仿宋" w:eastAsia="仿宋_GB2312" w:cs="宋体"/>
          <w:color w:val="auto"/>
          <w:sz w:val="30"/>
          <w:szCs w:val="30"/>
          <w:highlight w:val="none"/>
          <w:lang w:val="en-US" w:eastAsia="zh-CN"/>
        </w:rPr>
        <w:t>22</w:t>
      </w:r>
      <w:r>
        <w:rPr>
          <w:rFonts w:hint="eastAsia" w:ascii="仿宋_GB2312" w:hAnsi="仿宋" w:eastAsia="仿宋_GB2312" w:cs="宋体"/>
          <w:color w:val="auto"/>
          <w:sz w:val="30"/>
          <w:szCs w:val="30"/>
          <w:highlight w:val="none"/>
        </w:rPr>
        <w:t>年对各项制度进行了全面梳理，制定及修定了</w:t>
      </w:r>
      <w:r>
        <w:rPr>
          <w:rFonts w:hint="eastAsia" w:ascii="仿宋_GB2312" w:hAnsi="仿宋" w:eastAsia="仿宋_GB2312" w:cs="宋体"/>
          <w:color w:val="auto"/>
          <w:sz w:val="30"/>
          <w:szCs w:val="30"/>
          <w:highlight w:val="none"/>
          <w:lang w:val="en-US" w:eastAsia="zh-CN"/>
        </w:rPr>
        <w:t>60</w:t>
      </w:r>
      <w:r>
        <w:rPr>
          <w:rFonts w:hint="eastAsia" w:ascii="仿宋_GB2312" w:hAnsi="仿宋" w:eastAsia="仿宋_GB2312" w:cs="宋体"/>
          <w:color w:val="auto"/>
          <w:sz w:val="30"/>
          <w:szCs w:val="30"/>
          <w:highlight w:val="none"/>
        </w:rPr>
        <w:t>项内部管理制度，法人治理和管理制度更加完善。三是积极主动地识别和控制业务经营活动中的各类合规风险。全面梳理合规风险点,建立合规风险监测与预警指标,主动适应监管要求。四是强化合规文化建设，强调“合规人人有责，合规创造价值”的理念，推行诚信、正直的职业操守和价值观念，通过合规培训与教育、合规咨询等方式，不断提高全体员工的合规意识，有效防范了合规风险。五是建立合规责任机制。建立分工合理、职责明确的合规风险管理责任体系，明确所有与合规管理机制有关的部门、岗位、人员的职责和权限，使责任与权限对等、与内控要求一致、与奖惩挂钩，从而确保合规工作落到实处。六是进一步加强合规履职检查。适时对各部门及网点经营管理的主要领域、层面、环节和关键点的合规性进行检查，防范产生合规风险。七是提升合规管理水平。加快向流程银行的转变，通过对组织结构和业务流程再造，加强对合规风险的有效管理。</w:t>
      </w:r>
    </w:p>
    <w:p>
      <w:pPr>
        <w:shd w:val="clear" w:color="auto" w:fill="FFFFFF"/>
        <w:adjustRightInd/>
        <w:snapToGrid/>
        <w:spacing w:before="240" w:after="240" w:line="560" w:lineRule="exact"/>
        <w:ind w:firstLine="602" w:firstLineChars="200"/>
        <w:outlineLvl w:val="1"/>
        <w:rPr>
          <w:rFonts w:ascii="黑体" w:hAnsi="黑体" w:eastAsia="黑体" w:cs="宋体"/>
          <w:b/>
          <w:bCs/>
          <w:color w:val="auto"/>
          <w:sz w:val="30"/>
          <w:szCs w:val="30"/>
          <w:highlight w:val="none"/>
        </w:rPr>
      </w:pPr>
      <w:r>
        <w:rPr>
          <w:rFonts w:hint="eastAsia" w:ascii="黑体" w:hAnsi="黑体" w:eastAsia="黑体" w:cs="宋体"/>
          <w:b/>
          <w:bCs/>
          <w:color w:val="auto"/>
          <w:sz w:val="30"/>
          <w:szCs w:val="30"/>
          <w:highlight w:val="none"/>
        </w:rPr>
        <w:t>3.7  声誉风险管理</w:t>
      </w:r>
    </w:p>
    <w:p>
      <w:pPr>
        <w:pStyle w:val="4"/>
        <w:spacing w:before="0" w:beforeAutospacing="0" w:after="0" w:afterAutospacing="0" w:line="560" w:lineRule="exact"/>
        <w:ind w:firstLine="600" w:firstLineChars="200"/>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加强全面风险控制，切实防范声誉风险。一是全面加强舆情监测处理，做好信贷、理财、第三方代理等业务的规范销售、客户投诉处理、舆情跟踪监测等敏感度高的各相关环节工作，实时监测，及时报告，积极应对。二是加强客户投诉管理，改进客户服务，建立声誉风险防范的日常监测长效机制，维护良好的公众形象。三是做好信访维稳关口前移，变被动接访为主动沟通交流，融洽关系，化解矛盾，防患于未然。</w:t>
      </w:r>
    </w:p>
    <w:p>
      <w:pPr>
        <w:shd w:val="clear" w:color="auto" w:fill="FFFFFF"/>
        <w:adjustRightInd/>
        <w:snapToGrid/>
        <w:spacing w:before="360" w:after="360"/>
        <w:jc w:val="center"/>
        <w:outlineLvl w:val="0"/>
        <w:rPr>
          <w:rFonts w:hint="eastAsia" w:ascii="黑体" w:hAnsi="黑体" w:eastAsia="黑体" w:cs="宋体"/>
          <w:b/>
          <w:bCs/>
          <w:color w:val="auto"/>
          <w:kern w:val="36"/>
          <w:sz w:val="36"/>
          <w:szCs w:val="36"/>
          <w:highlight w:val="none"/>
        </w:rPr>
      </w:pPr>
      <w:bookmarkStart w:id="54" w:name="_Toc203486381"/>
      <w:bookmarkEnd w:id="54"/>
      <w:bookmarkStart w:id="55" w:name="_Toc219474575"/>
      <w:bookmarkEnd w:id="55"/>
      <w:bookmarkStart w:id="56" w:name="_Toc219552576"/>
      <w:bookmarkEnd w:id="56"/>
      <w:bookmarkStart w:id="57" w:name="_Toc203486382"/>
      <w:bookmarkEnd w:id="57"/>
      <w:bookmarkStart w:id="58" w:name="_Toc219474574"/>
      <w:bookmarkEnd w:id="58"/>
      <w:bookmarkStart w:id="59" w:name="_Toc219552575"/>
      <w:bookmarkEnd w:id="59"/>
      <w:bookmarkStart w:id="60" w:name="_Toc219553415"/>
      <w:bookmarkEnd w:id="60"/>
      <w:bookmarkStart w:id="61" w:name="_Toc219553416"/>
      <w:bookmarkEnd w:id="61"/>
      <w:r>
        <w:rPr>
          <w:rFonts w:hint="eastAsia" w:ascii="黑体" w:hAnsi="黑体" w:eastAsia="黑体" w:cs="宋体"/>
          <w:b/>
          <w:bCs/>
          <w:color w:val="auto"/>
          <w:kern w:val="36"/>
          <w:sz w:val="36"/>
          <w:szCs w:val="36"/>
          <w:highlight w:val="none"/>
        </w:rPr>
        <w:t>第四部分  公司治理情况</w:t>
      </w:r>
    </w:p>
    <w:p>
      <w:pPr>
        <w:shd w:val="clear" w:color="auto" w:fill="FFFFFF"/>
        <w:adjustRightInd/>
        <w:snapToGrid/>
        <w:spacing w:before="100" w:beforeAutospacing="1" w:after="100" w:afterAutospacing="1" w:line="555" w:lineRule="atLeast"/>
        <w:ind w:firstLine="602" w:firstLineChars="200"/>
        <w:rPr>
          <w:rFonts w:ascii="微软雅黑" w:hAnsi="微软雅黑" w:cs="宋体"/>
          <w:color w:val="auto"/>
          <w:sz w:val="18"/>
          <w:szCs w:val="18"/>
          <w:highlight w:val="none"/>
        </w:rPr>
      </w:pPr>
      <w:r>
        <w:rPr>
          <w:rFonts w:hint="eastAsia" w:ascii="黑体" w:hAnsi="黑体" w:eastAsia="黑体" w:cs="宋体"/>
          <w:b/>
          <w:bCs/>
          <w:color w:val="auto"/>
          <w:sz w:val="30"/>
          <w:szCs w:val="30"/>
          <w:highlight w:val="none"/>
        </w:rPr>
        <w:t>4.1</w:t>
      </w:r>
      <w:r>
        <w:rPr>
          <w:rFonts w:hint="eastAsia" w:ascii="宋体" w:hAnsi="宋体" w:eastAsia="宋体" w:cs="宋体"/>
          <w:b/>
          <w:bCs/>
          <w:color w:val="auto"/>
          <w:sz w:val="30"/>
          <w:szCs w:val="30"/>
          <w:highlight w:val="none"/>
        </w:rPr>
        <w:t> </w:t>
      </w:r>
      <w:bookmarkStart w:id="62" w:name="_Toc219474581"/>
      <w:bookmarkEnd w:id="62"/>
      <w:bookmarkStart w:id="63" w:name="_Toc203486388"/>
      <w:bookmarkEnd w:id="63"/>
      <w:bookmarkStart w:id="64" w:name="_Toc219552584"/>
      <w:bookmarkEnd w:id="64"/>
      <w:bookmarkStart w:id="65" w:name="_Toc219553424"/>
      <w:bookmarkEnd w:id="65"/>
      <w:r>
        <w:rPr>
          <w:rFonts w:hint="eastAsia" w:ascii="黑体" w:hAnsi="黑体" w:eastAsia="黑体" w:cs="宋体"/>
          <w:color w:val="auto"/>
          <w:sz w:val="30"/>
          <w:szCs w:val="30"/>
          <w:highlight w:val="none"/>
        </w:rPr>
        <w:t>股本结构及股东情况</w:t>
      </w:r>
    </w:p>
    <w:p>
      <w:pPr>
        <w:pStyle w:val="4"/>
        <w:spacing w:before="0" w:beforeAutospacing="0" w:after="0" w:afterAutospacing="0" w:line="560" w:lineRule="exact"/>
        <w:ind w:firstLine="600" w:firstLineChars="200"/>
        <w:rPr>
          <w:rFonts w:ascii="仿宋_GB2312" w:hAnsi="仿宋" w:eastAsia="仿宋_GB2312"/>
          <w:color w:val="auto"/>
          <w:sz w:val="30"/>
          <w:szCs w:val="30"/>
          <w:highlight w:val="yellow"/>
        </w:rPr>
      </w:pPr>
      <w:r>
        <w:rPr>
          <w:rFonts w:hint="eastAsia" w:ascii="仿宋_GB2312" w:hAnsi="仿宋" w:eastAsia="仿宋_GB2312"/>
          <w:color w:val="auto"/>
          <w:sz w:val="30"/>
          <w:szCs w:val="30"/>
          <w:highlight w:val="none"/>
        </w:rPr>
        <w:t>截止报告期末，本行股东总数</w:t>
      </w:r>
      <w:r>
        <w:rPr>
          <w:rFonts w:hint="eastAsia" w:ascii="仿宋_GB2312" w:hAnsi="仿宋" w:eastAsia="仿宋_GB2312"/>
          <w:color w:val="auto"/>
          <w:sz w:val="30"/>
          <w:szCs w:val="30"/>
          <w:highlight w:val="none"/>
          <w:lang w:val="en-US" w:eastAsia="zh-CN"/>
        </w:rPr>
        <w:t>4956</w:t>
      </w:r>
      <w:r>
        <w:rPr>
          <w:rFonts w:hint="eastAsia" w:ascii="仿宋_GB2312" w:hAnsi="仿宋" w:eastAsia="仿宋_GB2312"/>
          <w:color w:val="auto"/>
          <w:sz w:val="30"/>
          <w:szCs w:val="30"/>
          <w:highlight w:val="none"/>
        </w:rPr>
        <w:t>户，共持有本行股份44528.21万股。其中：企业法人股东</w:t>
      </w:r>
      <w:r>
        <w:rPr>
          <w:rFonts w:hint="eastAsia" w:ascii="仿宋_GB2312" w:hAnsi="仿宋" w:eastAsia="仿宋_GB2312"/>
          <w:color w:val="auto"/>
          <w:sz w:val="30"/>
          <w:szCs w:val="30"/>
          <w:highlight w:val="none"/>
          <w:lang w:val="en-US" w:eastAsia="zh-CN"/>
        </w:rPr>
        <w:t>25</w:t>
      </w:r>
      <w:r>
        <w:rPr>
          <w:rFonts w:hint="eastAsia" w:ascii="仿宋_GB2312" w:hAnsi="仿宋" w:eastAsia="仿宋_GB2312"/>
          <w:color w:val="auto"/>
          <w:sz w:val="30"/>
          <w:szCs w:val="30"/>
          <w:highlight w:val="none"/>
        </w:rPr>
        <w:t>户，持股比例为</w:t>
      </w:r>
      <w:r>
        <w:rPr>
          <w:rFonts w:hint="eastAsia" w:ascii="仿宋_GB2312" w:hAnsi="仿宋" w:eastAsia="仿宋_GB2312"/>
          <w:color w:val="auto"/>
          <w:sz w:val="30"/>
          <w:szCs w:val="30"/>
          <w:highlight w:val="none"/>
          <w:lang w:val="en-US" w:eastAsia="zh-CN"/>
        </w:rPr>
        <w:t>35.25</w:t>
      </w:r>
      <w:r>
        <w:rPr>
          <w:rFonts w:hint="eastAsia" w:ascii="仿宋_GB2312" w:hAnsi="仿宋" w:eastAsia="仿宋_GB2312"/>
          <w:color w:val="auto"/>
          <w:sz w:val="30"/>
          <w:szCs w:val="30"/>
          <w:highlight w:val="none"/>
        </w:rPr>
        <w:t>%，最大一户法人股东及其关联方持股</w:t>
      </w:r>
      <w:r>
        <w:rPr>
          <w:rFonts w:hint="eastAsia" w:ascii="仿宋_GB2312" w:hAnsi="仿宋" w:eastAsia="仿宋_GB2312"/>
          <w:color w:val="auto"/>
          <w:sz w:val="30"/>
          <w:szCs w:val="30"/>
          <w:highlight w:val="none"/>
          <w:lang w:val="en-US" w:eastAsia="zh-CN"/>
        </w:rPr>
        <w:t>2401</w:t>
      </w:r>
      <w:r>
        <w:rPr>
          <w:rFonts w:hint="eastAsia" w:ascii="仿宋_GB2312" w:hAnsi="仿宋" w:eastAsia="仿宋_GB2312"/>
          <w:color w:val="auto"/>
          <w:sz w:val="30"/>
          <w:szCs w:val="30"/>
          <w:highlight w:val="none"/>
        </w:rPr>
        <w:t>万股，占总股本的</w:t>
      </w:r>
      <w:r>
        <w:rPr>
          <w:rFonts w:hint="eastAsia" w:ascii="仿宋_GB2312" w:hAnsi="仿宋" w:eastAsia="仿宋_GB2312"/>
          <w:color w:val="auto"/>
          <w:sz w:val="30"/>
          <w:szCs w:val="30"/>
          <w:highlight w:val="none"/>
          <w:lang w:val="en-US" w:eastAsia="zh-CN"/>
        </w:rPr>
        <w:t>5.39</w:t>
      </w:r>
      <w:r>
        <w:rPr>
          <w:rFonts w:hint="eastAsia" w:ascii="仿宋_GB2312" w:hAnsi="仿宋" w:eastAsia="仿宋_GB2312"/>
          <w:color w:val="auto"/>
          <w:sz w:val="30"/>
          <w:szCs w:val="30"/>
          <w:highlight w:val="none"/>
        </w:rPr>
        <w:t>%；</w:t>
      </w:r>
      <w:r>
        <w:rPr>
          <w:rFonts w:hint="eastAsia" w:ascii="仿宋_GB2312" w:hAnsi="仿宋" w:eastAsia="仿宋_GB2312"/>
          <w:sz w:val="30"/>
          <w:szCs w:val="30"/>
        </w:rPr>
        <w:t>自然人股东4931户，持股比例为64.75%，最大一户自然人股东及其近亲属持股金额为283.51万股，持股比例为0.64%。股东的持股比例及结构符合银监部门的相关规定。</w:t>
      </w:r>
    </w:p>
    <w:p>
      <w:pPr>
        <w:shd w:val="clear" w:color="auto" w:fill="FFFFFF"/>
        <w:adjustRightInd/>
        <w:snapToGrid/>
        <w:spacing w:beforeLines="100" w:after="0" w:line="560" w:lineRule="exact"/>
        <w:ind w:firstLine="601"/>
        <w:rPr>
          <w:rFonts w:ascii="楷体" w:hAnsi="楷体" w:eastAsia="楷体" w:cs="宋体"/>
          <w:b/>
          <w:sz w:val="30"/>
          <w:szCs w:val="30"/>
        </w:rPr>
      </w:pPr>
      <w:r>
        <w:rPr>
          <w:rFonts w:hint="eastAsia" w:ascii="楷体" w:hAnsi="楷体" w:eastAsia="楷体" w:cs="宋体"/>
          <w:b/>
          <w:bCs/>
          <w:sz w:val="30"/>
          <w:szCs w:val="30"/>
        </w:rPr>
        <w:t xml:space="preserve">4.1.1   </w:t>
      </w:r>
      <w:r>
        <w:rPr>
          <w:rFonts w:hint="eastAsia" w:ascii="楷体" w:hAnsi="楷体" w:eastAsia="楷体" w:cs="宋体"/>
          <w:b/>
          <w:sz w:val="30"/>
          <w:szCs w:val="30"/>
        </w:rPr>
        <w:t>股本及股权结构情况如下</w:t>
      </w:r>
    </w:p>
    <w:p>
      <w:pPr>
        <w:adjustRightInd/>
        <w:snapToGrid/>
        <w:spacing w:before="100" w:beforeAutospacing="1" w:after="100" w:afterAutospacing="1" w:line="600" w:lineRule="atLeast"/>
        <w:ind w:firstLine="600"/>
        <w:rPr>
          <w:rFonts w:ascii="仿宋_GB2312" w:hAnsi="微软雅黑" w:eastAsia="仿宋_GB2312" w:cs="宋体"/>
          <w:b/>
          <w:sz w:val="28"/>
          <w:szCs w:val="28"/>
        </w:rPr>
      </w:pPr>
      <w:r>
        <w:rPr>
          <w:rFonts w:hint="eastAsia" w:ascii="仿宋_GB2312" w:hAnsi="微软雅黑" w:eastAsia="仿宋_GB2312" w:cs="宋体"/>
          <w:b/>
          <w:sz w:val="28"/>
          <w:szCs w:val="28"/>
        </w:rPr>
        <w:t>表4－1　　　股本结构变化情况　　           单位：万元</w:t>
      </w:r>
    </w:p>
    <w:tbl>
      <w:tblPr>
        <w:tblStyle w:val="5"/>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1516"/>
        <w:gridCol w:w="1516"/>
        <w:gridCol w:w="151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86" w:type="dxa"/>
            <w:vAlign w:val="center"/>
          </w:tcPr>
          <w:p>
            <w:pPr>
              <w:adjustRightInd/>
              <w:snapToGrid/>
              <w:spacing w:before="100" w:beforeAutospacing="1" w:after="100" w:afterAutospacing="1"/>
              <w:ind w:right="-99" w:rightChars="-45"/>
              <w:jc w:val="center"/>
              <w:rPr>
                <w:rFonts w:ascii="仿宋_GB2312" w:hAnsi="仿宋" w:eastAsia="仿宋_GB2312" w:cs="宋体"/>
                <w:sz w:val="28"/>
                <w:szCs w:val="28"/>
              </w:rPr>
            </w:pPr>
            <w:r>
              <w:rPr>
                <w:rFonts w:hint="eastAsia" w:ascii="仿宋_GB2312" w:hAnsi="仿宋" w:eastAsia="仿宋_GB2312" w:cs="宋体"/>
                <w:sz w:val="28"/>
                <w:szCs w:val="28"/>
              </w:rPr>
              <w:t>股东分类</w:t>
            </w:r>
          </w:p>
        </w:tc>
        <w:tc>
          <w:tcPr>
            <w:tcW w:w="1516" w:type="dxa"/>
            <w:vAlign w:val="center"/>
          </w:tcPr>
          <w:p>
            <w:pPr>
              <w:adjustRightInd/>
              <w:snapToGrid/>
              <w:spacing w:before="100" w:beforeAutospacing="1" w:after="100" w:afterAutospacing="1"/>
              <w:ind w:right="-101"/>
              <w:jc w:val="center"/>
              <w:rPr>
                <w:rFonts w:ascii="仿宋_GB2312" w:hAnsi="仿宋" w:eastAsia="仿宋_GB2312" w:cs="宋体"/>
                <w:sz w:val="24"/>
                <w:szCs w:val="24"/>
              </w:rPr>
            </w:pPr>
            <w:r>
              <w:rPr>
                <w:rFonts w:hint="eastAsia" w:ascii="仿宋_GB2312" w:hAnsi="仿宋" w:eastAsia="仿宋_GB2312" w:cs="宋体"/>
                <w:sz w:val="24"/>
                <w:szCs w:val="24"/>
              </w:rPr>
              <w:t>股本总额</w:t>
            </w:r>
          </w:p>
        </w:tc>
        <w:tc>
          <w:tcPr>
            <w:tcW w:w="1516" w:type="dxa"/>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比例</w:t>
            </w:r>
          </w:p>
        </w:tc>
        <w:tc>
          <w:tcPr>
            <w:tcW w:w="1516" w:type="dxa"/>
            <w:vAlign w:val="center"/>
          </w:tcPr>
          <w:p>
            <w:pPr>
              <w:adjustRightInd/>
              <w:snapToGrid/>
              <w:spacing w:before="100" w:beforeAutospacing="1" w:after="100" w:afterAutospacing="1"/>
              <w:jc w:val="center"/>
              <w:rPr>
                <w:rFonts w:ascii="宋体" w:hAnsi="宋体" w:eastAsia="宋体" w:cs="宋体"/>
                <w:sz w:val="24"/>
                <w:szCs w:val="24"/>
              </w:rPr>
            </w:pPr>
            <w:r>
              <w:rPr>
                <w:rFonts w:hint="eastAsia" w:ascii="仿宋_GB2312" w:hAnsi="仿宋" w:eastAsia="仿宋_GB2312" w:cs="宋体"/>
                <w:sz w:val="24"/>
                <w:szCs w:val="24"/>
              </w:rPr>
              <w:t>比上年</w:t>
            </w:r>
            <w:r>
              <w:rPr>
                <w:rFonts w:hint="eastAsia" w:ascii="仿宋_GB2312" w:hAnsi="宋体" w:eastAsia="仿宋_GB2312" w:cs="宋体"/>
                <w:bCs/>
                <w:sz w:val="24"/>
                <w:szCs w:val="24"/>
              </w:rPr>
              <w:t>增减</w:t>
            </w:r>
          </w:p>
        </w:tc>
        <w:tc>
          <w:tcPr>
            <w:tcW w:w="1516" w:type="dxa"/>
            <w:vAlign w:val="center"/>
          </w:tcPr>
          <w:p>
            <w:pPr>
              <w:adjustRightInd/>
              <w:snapToGrid/>
              <w:spacing w:before="100" w:beforeAutospacing="1" w:after="100" w:afterAutospacing="1"/>
              <w:ind w:right="-99" w:rightChars="-45"/>
              <w:jc w:val="center"/>
              <w:rPr>
                <w:rFonts w:ascii="仿宋_GB2312" w:hAnsi="仿宋" w:eastAsia="仿宋_GB2312" w:cs="宋体"/>
                <w:sz w:val="24"/>
                <w:szCs w:val="24"/>
              </w:rPr>
            </w:pPr>
            <w:r>
              <w:rPr>
                <w:rFonts w:hint="eastAsia" w:ascii="仿宋_GB2312" w:hAnsi="仿宋" w:eastAsia="仿宋_GB2312" w:cs="宋体"/>
                <w:sz w:val="24"/>
                <w:szCs w:val="24"/>
              </w:rPr>
              <w:t>股本性质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586" w:type="dxa"/>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法 人 股</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25191.73</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39.72</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4.47</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普通股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586" w:type="dxa"/>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自然人股</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38236.48</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60.28</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4.47</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普通股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586" w:type="dxa"/>
            <w:vAlign w:val="center"/>
          </w:tcPr>
          <w:p>
            <w:pPr>
              <w:adjustRightInd/>
              <w:snapToGrid/>
              <w:spacing w:before="100" w:beforeAutospacing="1" w:after="100" w:afterAutospacing="1"/>
              <w:ind w:left="600" w:hanging="600" w:hangingChars="250"/>
              <w:jc w:val="right"/>
              <w:rPr>
                <w:rFonts w:ascii="仿宋_GB2312" w:hAnsi="仿宋" w:eastAsia="仿宋_GB2312" w:cs="宋体"/>
                <w:sz w:val="24"/>
                <w:szCs w:val="24"/>
              </w:rPr>
            </w:pPr>
            <w:r>
              <w:rPr>
                <w:rFonts w:hint="eastAsia" w:ascii="仿宋_GB2312" w:hAnsi="仿宋" w:eastAsia="仿宋_GB2312" w:cs="宋体"/>
                <w:sz w:val="24"/>
                <w:szCs w:val="24"/>
              </w:rPr>
              <w:t>其中： 职工股</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10367.25</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16.34</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-2.23</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普通股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86" w:type="dxa"/>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合   计</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63428.21</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100</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r>
              <w:rPr>
                <w:rFonts w:hint="eastAsia" w:ascii="仿宋_GB2312" w:hAnsi="仿宋" w:eastAsia="仿宋_GB2312" w:cs="宋体"/>
                <w:sz w:val="24"/>
                <w:szCs w:val="24"/>
              </w:rPr>
              <w:t>0</w:t>
            </w:r>
          </w:p>
        </w:tc>
        <w:tc>
          <w:tcPr>
            <w:tcW w:w="1516" w:type="dxa"/>
            <w:shd w:val="clear" w:color="auto" w:fill="auto"/>
            <w:vAlign w:val="center"/>
          </w:tcPr>
          <w:p>
            <w:pPr>
              <w:adjustRightInd/>
              <w:snapToGrid/>
              <w:spacing w:before="100" w:beforeAutospacing="1" w:after="100" w:afterAutospacing="1"/>
              <w:jc w:val="center"/>
              <w:rPr>
                <w:rFonts w:ascii="仿宋_GB2312" w:hAnsi="仿宋" w:eastAsia="仿宋_GB2312" w:cs="宋体"/>
                <w:sz w:val="24"/>
                <w:szCs w:val="24"/>
              </w:rPr>
            </w:pPr>
          </w:p>
        </w:tc>
      </w:tr>
    </w:tbl>
    <w:p>
      <w:pPr>
        <w:adjustRightInd/>
        <w:snapToGrid/>
        <w:spacing w:before="100" w:beforeAutospacing="1" w:after="100" w:afterAutospacing="1" w:line="600" w:lineRule="atLeast"/>
        <w:ind w:firstLine="422" w:firstLineChars="150"/>
        <w:rPr>
          <w:rFonts w:ascii="仿宋_GB2312" w:hAnsi="微软雅黑" w:eastAsia="仿宋_GB2312" w:cs="宋体"/>
          <w:sz w:val="30"/>
          <w:szCs w:val="30"/>
        </w:rPr>
      </w:pPr>
      <w:r>
        <w:rPr>
          <w:rFonts w:hint="eastAsia" w:ascii="仿宋_GB2312" w:hAnsi="微软雅黑" w:eastAsia="仿宋_GB2312" w:cs="宋体"/>
          <w:b/>
          <w:sz w:val="28"/>
          <w:szCs w:val="28"/>
        </w:rPr>
        <w:t>表4－2　　本行企业法人大股东名单（共24户）  单位：万元</w:t>
      </w:r>
    </w:p>
    <w:tbl>
      <w:tblPr>
        <w:tblStyle w:val="5"/>
        <w:tblW w:w="843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450"/>
        <w:gridCol w:w="2254"/>
        <w:gridCol w:w="1440"/>
        <w:gridCol w:w="975"/>
        <w:gridCol w:w="93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00" w:type="dxa"/>
            <w:shd w:val="clear" w:color="auto" w:fill="auto"/>
            <w:vAlign w:val="center"/>
          </w:tcPr>
          <w:p>
            <w:pPr>
              <w:adjustRightInd/>
              <w:snapToGrid/>
              <w:spacing w:after="0"/>
              <w:jc w:val="center"/>
              <w:rPr>
                <w:rFonts w:ascii="仿宋_GB2312" w:hAnsi="宋体" w:eastAsia="仿宋_GB2312" w:cs="宋体"/>
                <w:b/>
                <w:bCs/>
                <w:sz w:val="20"/>
                <w:szCs w:val="20"/>
              </w:rPr>
            </w:pPr>
            <w:r>
              <w:rPr>
                <w:rFonts w:hint="eastAsia" w:ascii="仿宋_GB2312" w:hAnsi="宋体" w:eastAsia="仿宋_GB2312" w:cs="宋体"/>
                <w:b/>
                <w:bCs/>
                <w:sz w:val="20"/>
                <w:szCs w:val="20"/>
              </w:rPr>
              <w:t>序号</w:t>
            </w:r>
          </w:p>
        </w:tc>
        <w:tc>
          <w:tcPr>
            <w:tcW w:w="1450" w:type="dxa"/>
            <w:shd w:val="clear" w:color="auto" w:fill="auto"/>
            <w:vAlign w:val="center"/>
          </w:tcPr>
          <w:p>
            <w:pPr>
              <w:adjustRightInd/>
              <w:snapToGrid/>
              <w:spacing w:after="0"/>
              <w:jc w:val="center"/>
              <w:rPr>
                <w:rFonts w:ascii="仿宋_GB2312" w:hAnsi="宋体" w:eastAsia="仿宋_GB2312" w:cs="宋体"/>
                <w:b/>
                <w:bCs/>
                <w:sz w:val="20"/>
                <w:szCs w:val="20"/>
              </w:rPr>
            </w:pPr>
            <w:r>
              <w:rPr>
                <w:rFonts w:hint="eastAsia" w:ascii="仿宋_GB2312" w:hAnsi="宋体" w:eastAsia="仿宋_GB2312" w:cs="宋体"/>
                <w:b/>
                <w:bCs/>
                <w:sz w:val="20"/>
                <w:szCs w:val="20"/>
              </w:rPr>
              <w:t>股东名称</w:t>
            </w:r>
          </w:p>
        </w:tc>
        <w:tc>
          <w:tcPr>
            <w:tcW w:w="2254" w:type="dxa"/>
            <w:shd w:val="clear" w:color="auto" w:fill="auto"/>
            <w:vAlign w:val="center"/>
          </w:tcPr>
          <w:p>
            <w:pPr>
              <w:adjustRightInd/>
              <w:snapToGrid/>
              <w:spacing w:after="0"/>
              <w:jc w:val="center"/>
              <w:rPr>
                <w:rFonts w:ascii="仿宋_GB2312" w:hAnsi="宋体" w:eastAsia="仿宋_GB2312" w:cs="宋体"/>
                <w:b/>
                <w:bCs/>
                <w:sz w:val="20"/>
                <w:szCs w:val="20"/>
              </w:rPr>
            </w:pPr>
            <w:r>
              <w:rPr>
                <w:rFonts w:hint="eastAsia" w:ascii="仿宋_GB2312" w:hAnsi="宋体" w:eastAsia="仿宋_GB2312" w:cs="宋体"/>
                <w:b/>
                <w:bCs/>
                <w:sz w:val="20"/>
                <w:szCs w:val="20"/>
              </w:rPr>
              <w:t>营业执照号码</w:t>
            </w:r>
          </w:p>
        </w:tc>
        <w:tc>
          <w:tcPr>
            <w:tcW w:w="1440" w:type="dxa"/>
            <w:shd w:val="clear" w:color="auto" w:fill="auto"/>
            <w:vAlign w:val="center"/>
          </w:tcPr>
          <w:p>
            <w:pPr>
              <w:adjustRightInd/>
              <w:snapToGrid/>
              <w:spacing w:after="0"/>
              <w:jc w:val="center"/>
              <w:rPr>
                <w:rFonts w:ascii="仿宋_GB2312" w:hAnsi="宋体" w:eastAsia="仿宋_GB2312" w:cs="宋体"/>
                <w:b/>
                <w:bCs/>
                <w:sz w:val="20"/>
                <w:szCs w:val="20"/>
              </w:rPr>
            </w:pPr>
            <w:r>
              <w:rPr>
                <w:rFonts w:hint="eastAsia" w:ascii="仿宋_GB2312" w:hAnsi="宋体" w:eastAsia="仿宋_GB2312" w:cs="宋体"/>
                <w:b/>
                <w:bCs/>
                <w:sz w:val="20"/>
                <w:szCs w:val="20"/>
              </w:rPr>
              <w:t>股东住所</w:t>
            </w:r>
          </w:p>
        </w:tc>
        <w:tc>
          <w:tcPr>
            <w:tcW w:w="975" w:type="dxa"/>
            <w:shd w:val="clear" w:color="auto" w:fill="auto"/>
            <w:vAlign w:val="center"/>
          </w:tcPr>
          <w:p>
            <w:pPr>
              <w:adjustRightInd/>
              <w:snapToGrid/>
              <w:spacing w:after="0"/>
              <w:jc w:val="center"/>
              <w:rPr>
                <w:rFonts w:ascii="仿宋_GB2312" w:hAnsi="宋体" w:eastAsia="仿宋_GB2312" w:cs="宋体"/>
                <w:b/>
                <w:bCs/>
                <w:sz w:val="20"/>
                <w:szCs w:val="20"/>
              </w:rPr>
            </w:pPr>
            <w:r>
              <w:rPr>
                <w:rFonts w:hint="eastAsia" w:ascii="仿宋_GB2312" w:hAnsi="宋体" w:eastAsia="仿宋_GB2312" w:cs="宋体"/>
                <w:b/>
                <w:bCs/>
                <w:sz w:val="20"/>
                <w:szCs w:val="20"/>
              </w:rPr>
              <w:t>法人代表</w:t>
            </w:r>
          </w:p>
        </w:tc>
        <w:tc>
          <w:tcPr>
            <w:tcW w:w="930" w:type="dxa"/>
            <w:shd w:val="clear" w:color="auto" w:fill="auto"/>
            <w:vAlign w:val="center"/>
          </w:tcPr>
          <w:p>
            <w:pPr>
              <w:adjustRightInd/>
              <w:snapToGrid/>
              <w:spacing w:after="0"/>
              <w:jc w:val="center"/>
              <w:rPr>
                <w:rFonts w:ascii="仿宋_GB2312" w:hAnsi="宋体" w:eastAsia="仿宋_GB2312" w:cs="宋体"/>
                <w:b/>
                <w:bCs/>
                <w:sz w:val="20"/>
                <w:szCs w:val="20"/>
              </w:rPr>
            </w:pPr>
            <w:r>
              <w:rPr>
                <w:rFonts w:hint="eastAsia" w:ascii="仿宋_GB2312" w:hAnsi="宋体" w:eastAsia="仿宋_GB2312" w:cs="宋体"/>
                <w:b/>
                <w:bCs/>
                <w:sz w:val="20"/>
                <w:szCs w:val="20"/>
              </w:rPr>
              <w:t>持股数（万股）</w:t>
            </w:r>
          </w:p>
        </w:tc>
        <w:tc>
          <w:tcPr>
            <w:tcW w:w="990" w:type="dxa"/>
            <w:shd w:val="clear" w:color="auto" w:fill="auto"/>
            <w:vAlign w:val="center"/>
          </w:tcPr>
          <w:p>
            <w:pPr>
              <w:adjustRightInd/>
              <w:snapToGrid/>
              <w:spacing w:after="0"/>
              <w:jc w:val="center"/>
              <w:rPr>
                <w:rFonts w:ascii="仿宋_GB2312" w:hAnsi="宋体" w:eastAsia="仿宋_GB2312" w:cs="宋体"/>
                <w:b/>
                <w:bCs/>
                <w:sz w:val="20"/>
                <w:szCs w:val="20"/>
              </w:rPr>
            </w:pPr>
            <w:r>
              <w:rPr>
                <w:rFonts w:hint="eastAsia" w:ascii="仿宋_GB2312" w:hAnsi="宋体" w:eastAsia="仿宋_GB2312" w:cs="宋体"/>
                <w:b/>
                <w:bCs/>
                <w:sz w:val="20"/>
                <w:szCs w:val="20"/>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玉田县北方购物有限公司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911302295590768905</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玉田县玉田镇北环路</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常树义</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3201</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2</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唐山前进塑料制品有限公司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91130229601064827W</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玉田县开发区</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薛宝松</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3200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3</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唐山汇金贸易有限公司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911302297857230485</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玉田县城内豪门路北侧</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朱军</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3200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4</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唐山凤凰酿酒有限公司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911302216773516118</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丰润区泉河头镇白各庄村南</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赵苹</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2400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5</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万通电缆集团有限公司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9113020070079733XQ</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唐山市开平区园区道9号</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郑晓龙</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2043</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6</w:t>
            </w:r>
          </w:p>
        </w:tc>
        <w:tc>
          <w:tcPr>
            <w:tcW w:w="1450" w:type="dxa"/>
            <w:shd w:val="clear" w:color="auto" w:fill="auto"/>
            <w:vAlign w:val="bottom"/>
          </w:tcPr>
          <w:p>
            <w:pPr>
              <w:rPr>
                <w:rFonts w:ascii="宋体" w:hAnsi="宋体" w:eastAsia="宋体" w:cs="宋体"/>
                <w:color w:val="000000"/>
                <w:sz w:val="20"/>
                <w:szCs w:val="20"/>
              </w:rPr>
            </w:pPr>
            <w:r>
              <w:rPr>
                <w:rFonts w:hint="eastAsia"/>
                <w:color w:val="000000"/>
                <w:sz w:val="20"/>
                <w:szCs w:val="20"/>
              </w:rPr>
              <w:t>唐山泰丰实业集团有限公司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91130229669079726X</w:t>
            </w:r>
          </w:p>
        </w:tc>
        <w:tc>
          <w:tcPr>
            <w:tcW w:w="1440" w:type="dxa"/>
            <w:shd w:val="clear" w:color="auto" w:fill="auto"/>
            <w:vAlign w:val="bottom"/>
          </w:tcPr>
          <w:p>
            <w:pPr>
              <w:rPr>
                <w:rFonts w:ascii="宋体" w:hAnsi="宋体" w:eastAsia="宋体" w:cs="宋体"/>
                <w:color w:val="000000"/>
                <w:sz w:val="20"/>
                <w:szCs w:val="20"/>
              </w:rPr>
            </w:pPr>
            <w:r>
              <w:rPr>
                <w:rFonts w:hint="eastAsia"/>
                <w:color w:val="000000"/>
                <w:sz w:val="20"/>
                <w:szCs w:val="20"/>
              </w:rPr>
              <w:t>唐山市玉田县陈家铺乡老汪铺村东200米</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刘艳秋</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2021.675</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7</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唐山港鑫物流有限公司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91130230560478512J</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曹妃甸工业区胜岛酒店8715</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赵贤明</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1100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8</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唐山海泰电力工程有限公司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91130229MA0964041Y</w:t>
            </w:r>
          </w:p>
        </w:tc>
        <w:tc>
          <w:tcPr>
            <w:tcW w:w="144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河北省唐山市玉田县玉田城内豪门路北侧</w:t>
            </w:r>
          </w:p>
        </w:tc>
        <w:tc>
          <w:tcPr>
            <w:tcW w:w="975"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王垠堡</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1001</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9</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唐山长春房地产开发有限公司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91130229748451493W</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玉田县城内鼓楼北街东侧</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李长春</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1000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10</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唐山金路通商贸有限公司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91130229763446537A</w:t>
            </w:r>
          </w:p>
        </w:tc>
        <w:tc>
          <w:tcPr>
            <w:tcW w:w="144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玉田县城南环路西段路北</w:t>
            </w:r>
          </w:p>
        </w:tc>
        <w:tc>
          <w:tcPr>
            <w:tcW w:w="975"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翟羽山</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1000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11</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河北天柱钢铁集团古玉煤焦化工有限公司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91130229677379112U</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玉田县后湖工业聚集区</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程德义</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800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12</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唐山市丰润区盛业昌房地产开发有限公司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91130221398870849W</w:t>
            </w:r>
          </w:p>
        </w:tc>
        <w:tc>
          <w:tcPr>
            <w:tcW w:w="144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丰润区曹雪芹大街路北河南长兵马庄村门市8号</w:t>
            </w:r>
          </w:p>
        </w:tc>
        <w:tc>
          <w:tcPr>
            <w:tcW w:w="975"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王作春</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700</w:t>
            </w:r>
          </w:p>
        </w:tc>
        <w:tc>
          <w:tcPr>
            <w:tcW w:w="990" w:type="dxa"/>
            <w:shd w:val="clear" w:color="auto" w:fill="auto"/>
            <w:vAlign w:val="center"/>
          </w:tcPr>
          <w:p>
            <w:pPr>
              <w:jc w:val="right"/>
              <w:rPr>
                <w:rFonts w:ascii="宋体" w:hAnsi="宋体" w:eastAsia="宋体" w:cs="宋体"/>
                <w:color w:val="000000"/>
                <w:sz w:val="24"/>
                <w:szCs w:val="24"/>
              </w:rPr>
            </w:pPr>
            <w:r>
              <w:rPr>
                <w:rFonts w:hint="eastAsia"/>
                <w:color w:val="00000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13</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河北建支铸造集团有限公司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91130229105198244A</w:t>
            </w:r>
          </w:p>
        </w:tc>
        <w:tc>
          <w:tcPr>
            <w:tcW w:w="144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玉田县城东南庞庄子</w:t>
            </w:r>
          </w:p>
        </w:tc>
        <w:tc>
          <w:tcPr>
            <w:tcW w:w="975"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任久红</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609</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14</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玉田县顺发实业有限公司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91130229662220803A</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河北省唐山市玉田县散水头镇代家屯村</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张维田</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603</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15</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河北绿泽环保科技有限公司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91130229MA09475083</w:t>
            </w:r>
          </w:p>
        </w:tc>
        <w:tc>
          <w:tcPr>
            <w:tcW w:w="144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河北省唐山市玉田县林东唐玉宝公路北侧</w:t>
            </w:r>
          </w:p>
        </w:tc>
        <w:tc>
          <w:tcPr>
            <w:tcW w:w="975"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杜连忠</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601</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16</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唐山玉联机电有限公司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91130229748459866K</w:t>
            </w:r>
          </w:p>
        </w:tc>
        <w:tc>
          <w:tcPr>
            <w:tcW w:w="144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河北省唐山市玉田县后湖工业聚集区</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刘欣春</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600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17</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唐山玉龙建筑安装工程有限公司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91130229758935598E</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玉田县宏泰家城小区1-6门市</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贾德全</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500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18</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唐山金马启新水泥有限公司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91130229715809129U</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玉田县大安镇后螺山村东</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徐鑫</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265.2527</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19</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北京建业天承商贸有限公司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911101125938130303</w:t>
            </w:r>
          </w:p>
        </w:tc>
        <w:tc>
          <w:tcPr>
            <w:tcW w:w="1440" w:type="dxa"/>
            <w:shd w:val="clear" w:color="auto" w:fill="auto"/>
            <w:vAlign w:val="center"/>
          </w:tcPr>
          <w:p>
            <w:pPr>
              <w:rPr>
                <w:rFonts w:ascii="宋体" w:hAnsi="宋体" w:eastAsia="宋体" w:cs="宋体"/>
                <w:color w:val="000000"/>
                <w:sz w:val="20"/>
                <w:szCs w:val="20"/>
              </w:rPr>
            </w:pPr>
            <w:r>
              <w:rPr>
                <w:rFonts w:hint="eastAsia"/>
                <w:color w:val="000000"/>
                <w:sz w:val="20"/>
                <w:szCs w:val="20"/>
              </w:rPr>
              <w:t>工业开发区广源东街7号</w:t>
            </w:r>
          </w:p>
        </w:tc>
        <w:tc>
          <w:tcPr>
            <w:tcW w:w="975"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王素娟</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204</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20</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河北星烁锯业股份有限公司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9113020010519100XL</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河北省唐山市玉田县鸦鸿桥镇孙各庄村星烁大街1号</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安凤占</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101</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21</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河北亚塑塑业有限公司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91130229752431700Q</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玉田县后湖工业聚集区</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王盼</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11</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22</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唐山康泰建筑工程有限公司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911302297007901038</w:t>
            </w:r>
          </w:p>
        </w:tc>
        <w:tc>
          <w:tcPr>
            <w:tcW w:w="1440" w:type="dxa"/>
            <w:shd w:val="clear" w:color="auto" w:fill="auto"/>
            <w:vAlign w:val="bottom"/>
          </w:tcPr>
          <w:p>
            <w:pPr>
              <w:rPr>
                <w:rFonts w:ascii="宋体" w:hAnsi="宋体" w:eastAsia="宋体" w:cs="宋体"/>
                <w:color w:val="000000"/>
                <w:sz w:val="20"/>
                <w:szCs w:val="20"/>
              </w:rPr>
            </w:pPr>
            <w:r>
              <w:rPr>
                <w:rFonts w:hint="eastAsia"/>
                <w:color w:val="000000"/>
                <w:sz w:val="20"/>
                <w:szCs w:val="20"/>
              </w:rPr>
              <w:t>玉田城内铁南大街</w:t>
            </w:r>
          </w:p>
        </w:tc>
        <w:tc>
          <w:tcPr>
            <w:tcW w:w="975"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仇云生</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10.8</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23</w:t>
            </w:r>
          </w:p>
        </w:tc>
        <w:tc>
          <w:tcPr>
            <w:tcW w:w="145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唐山市玉田医药药材有限责任公司</w:t>
            </w:r>
          </w:p>
        </w:tc>
        <w:tc>
          <w:tcPr>
            <w:tcW w:w="2254"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91130229769847729H</w:t>
            </w:r>
          </w:p>
        </w:tc>
        <w:tc>
          <w:tcPr>
            <w:tcW w:w="1440"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玉田县城西汽车站南大街5号</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王术明</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10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0" w:type="dxa"/>
            <w:shd w:val="clear" w:color="auto" w:fill="auto"/>
            <w:vAlign w:val="center"/>
          </w:tcPr>
          <w:p>
            <w:pPr>
              <w:adjustRightInd/>
              <w:snapToGrid/>
              <w:spacing w:after="0"/>
              <w:jc w:val="center"/>
              <w:rPr>
                <w:rFonts w:ascii="仿宋_GB2312" w:hAnsi="宋体" w:eastAsia="仿宋_GB2312" w:cs="宋体"/>
                <w:sz w:val="20"/>
                <w:szCs w:val="20"/>
              </w:rPr>
            </w:pPr>
            <w:r>
              <w:rPr>
                <w:rFonts w:hint="eastAsia" w:ascii="仿宋_GB2312" w:hAnsi="宋体" w:eastAsia="仿宋_GB2312" w:cs="宋体"/>
                <w:sz w:val="20"/>
                <w:szCs w:val="20"/>
              </w:rPr>
              <w:t>24</w:t>
            </w:r>
          </w:p>
        </w:tc>
        <w:tc>
          <w:tcPr>
            <w:tcW w:w="145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唐山金剑水泥有限公司</w:t>
            </w:r>
          </w:p>
        </w:tc>
        <w:tc>
          <w:tcPr>
            <w:tcW w:w="2254"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911302297302406718</w:t>
            </w:r>
          </w:p>
        </w:tc>
        <w:tc>
          <w:tcPr>
            <w:tcW w:w="1440" w:type="dxa"/>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河北省唐山市玉田县孤树镇102国道106.5公里处</w:t>
            </w:r>
          </w:p>
        </w:tc>
        <w:tc>
          <w:tcPr>
            <w:tcW w:w="975" w:type="dxa"/>
            <w:shd w:val="clear" w:color="auto" w:fill="auto"/>
            <w:vAlign w:val="bottom"/>
          </w:tcPr>
          <w:p>
            <w:pPr>
              <w:jc w:val="center"/>
              <w:rPr>
                <w:rFonts w:ascii="宋体" w:hAnsi="宋体" w:eastAsia="宋体" w:cs="宋体"/>
                <w:color w:val="000000"/>
                <w:sz w:val="20"/>
                <w:szCs w:val="20"/>
              </w:rPr>
            </w:pPr>
            <w:r>
              <w:rPr>
                <w:rFonts w:hint="eastAsia"/>
                <w:color w:val="000000"/>
                <w:sz w:val="20"/>
                <w:szCs w:val="20"/>
              </w:rPr>
              <w:t>杨小明</w:t>
            </w:r>
          </w:p>
        </w:tc>
        <w:tc>
          <w:tcPr>
            <w:tcW w:w="930" w:type="dxa"/>
            <w:shd w:val="clear" w:color="auto" w:fill="auto"/>
            <w:vAlign w:val="bottom"/>
          </w:tcPr>
          <w:p>
            <w:pPr>
              <w:jc w:val="right"/>
              <w:rPr>
                <w:rFonts w:ascii="宋体" w:hAnsi="宋体" w:eastAsia="宋体" w:cs="宋体"/>
                <w:color w:val="000000"/>
                <w:sz w:val="24"/>
                <w:szCs w:val="24"/>
              </w:rPr>
            </w:pPr>
            <w:r>
              <w:rPr>
                <w:rFonts w:hint="eastAsia"/>
                <w:color w:val="000000"/>
              </w:rPr>
              <w:t>10</w:t>
            </w:r>
          </w:p>
        </w:tc>
        <w:tc>
          <w:tcPr>
            <w:tcW w:w="990" w:type="dxa"/>
            <w:shd w:val="clear" w:color="auto" w:fill="auto"/>
            <w:vAlign w:val="bottom"/>
          </w:tcPr>
          <w:p>
            <w:pPr>
              <w:jc w:val="right"/>
              <w:rPr>
                <w:rFonts w:ascii="宋体" w:hAnsi="宋体" w:eastAsia="宋体" w:cs="宋体"/>
                <w:color w:val="000000"/>
                <w:sz w:val="24"/>
                <w:szCs w:val="24"/>
              </w:rPr>
            </w:pPr>
            <w:r>
              <w:rPr>
                <w:rFonts w:hint="eastAsia"/>
                <w:color w:val="000000"/>
              </w:rPr>
              <w:t>0.02</w:t>
            </w:r>
          </w:p>
        </w:tc>
      </w:tr>
    </w:tbl>
    <w:p>
      <w:pPr>
        <w:spacing w:line="600" w:lineRule="exact"/>
        <w:ind w:firstLine="281" w:firstLineChars="100"/>
        <w:rPr>
          <w:rFonts w:ascii="仿宋_GB2312" w:hAnsi="微软雅黑" w:eastAsia="仿宋_GB2312" w:cs="宋体"/>
          <w:b/>
          <w:sz w:val="28"/>
          <w:szCs w:val="28"/>
        </w:rPr>
      </w:pPr>
      <w:r>
        <w:rPr>
          <w:rFonts w:hint="eastAsia" w:ascii="仿宋_GB2312" w:hAnsi="微软雅黑" w:eastAsia="仿宋_GB2312" w:cs="宋体"/>
          <w:b/>
          <w:sz w:val="28"/>
          <w:szCs w:val="28"/>
        </w:rPr>
        <w:t xml:space="preserve">表4－3    </w:t>
      </w:r>
      <w:r>
        <w:rPr>
          <w:rFonts w:hint="eastAsia" w:ascii="仿宋_GB2312" w:hAnsi="仿宋" w:eastAsia="仿宋_GB2312"/>
          <w:b/>
          <w:snapToGrid w:val="0"/>
          <w:sz w:val="28"/>
          <w:szCs w:val="28"/>
        </w:rPr>
        <w:t xml:space="preserve">本行前十大自然人股东名单          </w:t>
      </w:r>
      <w:r>
        <w:rPr>
          <w:rFonts w:hint="eastAsia" w:ascii="仿宋_GB2312" w:hAnsi="微软雅黑" w:eastAsia="仿宋_GB2312" w:cs="宋体"/>
          <w:b/>
          <w:sz w:val="28"/>
          <w:szCs w:val="28"/>
        </w:rPr>
        <w:t>单位：万元</w:t>
      </w:r>
    </w:p>
    <w:p>
      <w:pPr>
        <w:spacing w:line="600" w:lineRule="exact"/>
        <w:ind w:firstLine="280" w:firstLineChars="100"/>
        <w:rPr>
          <w:rFonts w:ascii="仿宋_GB2312" w:hAnsi="仿宋" w:eastAsia="仿宋_GB2312"/>
          <w:snapToGrid w:val="0"/>
          <w:sz w:val="28"/>
          <w:szCs w:val="28"/>
        </w:rPr>
      </w:pP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42"/>
        <w:gridCol w:w="1843"/>
        <w:gridCol w:w="2410"/>
        <w:gridCol w:w="85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85" w:type="dxa"/>
            <w:shd w:val="clear" w:color="auto" w:fill="auto"/>
            <w:vAlign w:val="center"/>
          </w:tcPr>
          <w:p>
            <w:pPr>
              <w:spacing w:line="360" w:lineRule="exact"/>
              <w:ind w:left="-55" w:leftChars="-25" w:right="-55" w:rightChars="-25"/>
              <w:jc w:val="center"/>
              <w:rPr>
                <w:rFonts w:ascii="仿宋_GB2312" w:hAnsi="仿宋" w:eastAsia="仿宋_GB2312"/>
                <w:b/>
                <w:bCs/>
                <w:sz w:val="18"/>
                <w:szCs w:val="18"/>
              </w:rPr>
            </w:pPr>
            <w:r>
              <w:rPr>
                <w:rFonts w:hint="eastAsia" w:ascii="仿宋_GB2312" w:hAnsi="仿宋" w:eastAsia="仿宋_GB2312"/>
                <w:b/>
                <w:bCs/>
                <w:sz w:val="18"/>
                <w:szCs w:val="18"/>
              </w:rPr>
              <w:t>序号</w:t>
            </w:r>
          </w:p>
        </w:tc>
        <w:tc>
          <w:tcPr>
            <w:tcW w:w="1242" w:type="dxa"/>
            <w:shd w:val="clear" w:color="auto" w:fill="auto"/>
            <w:vAlign w:val="center"/>
          </w:tcPr>
          <w:p>
            <w:pPr>
              <w:spacing w:line="360" w:lineRule="exact"/>
              <w:ind w:left="-55" w:leftChars="-25" w:right="-55" w:rightChars="-25"/>
              <w:jc w:val="center"/>
              <w:rPr>
                <w:rFonts w:ascii="仿宋_GB2312" w:hAnsi="仿宋" w:eastAsia="仿宋_GB2312"/>
                <w:b/>
                <w:bCs/>
                <w:sz w:val="18"/>
                <w:szCs w:val="18"/>
              </w:rPr>
            </w:pPr>
            <w:r>
              <w:rPr>
                <w:rFonts w:hint="eastAsia" w:ascii="仿宋_GB2312" w:hAnsi="仿宋" w:eastAsia="仿宋_GB2312"/>
                <w:b/>
                <w:bCs/>
                <w:sz w:val="18"/>
                <w:szCs w:val="18"/>
              </w:rPr>
              <w:t>股东姓名</w:t>
            </w:r>
          </w:p>
        </w:tc>
        <w:tc>
          <w:tcPr>
            <w:tcW w:w="1843" w:type="dxa"/>
            <w:shd w:val="clear" w:color="auto" w:fill="auto"/>
            <w:vAlign w:val="center"/>
          </w:tcPr>
          <w:p>
            <w:pPr>
              <w:spacing w:line="360" w:lineRule="exact"/>
              <w:ind w:left="-55" w:leftChars="-25" w:right="-55" w:rightChars="-25"/>
              <w:jc w:val="center"/>
              <w:rPr>
                <w:rFonts w:ascii="仿宋_GB2312" w:hAnsi="仿宋" w:eastAsia="仿宋_GB2312"/>
                <w:b/>
                <w:bCs/>
                <w:sz w:val="18"/>
                <w:szCs w:val="18"/>
              </w:rPr>
            </w:pPr>
            <w:r>
              <w:rPr>
                <w:rFonts w:hint="eastAsia" w:ascii="仿宋_GB2312" w:hAnsi="仿宋" w:eastAsia="仿宋_GB2312"/>
                <w:b/>
                <w:bCs/>
                <w:sz w:val="18"/>
                <w:szCs w:val="18"/>
              </w:rPr>
              <w:t>身份证号码</w:t>
            </w:r>
          </w:p>
        </w:tc>
        <w:tc>
          <w:tcPr>
            <w:tcW w:w="2410" w:type="dxa"/>
            <w:shd w:val="clear" w:color="auto" w:fill="auto"/>
            <w:vAlign w:val="center"/>
          </w:tcPr>
          <w:p>
            <w:pPr>
              <w:spacing w:line="360" w:lineRule="exact"/>
              <w:ind w:left="-55" w:leftChars="-25" w:right="-55" w:rightChars="-25"/>
              <w:jc w:val="center"/>
              <w:rPr>
                <w:rFonts w:ascii="仿宋_GB2312" w:hAnsi="仿宋" w:eastAsia="仿宋_GB2312"/>
                <w:b/>
                <w:bCs/>
                <w:sz w:val="18"/>
                <w:szCs w:val="18"/>
              </w:rPr>
            </w:pPr>
            <w:r>
              <w:rPr>
                <w:rFonts w:hint="eastAsia" w:ascii="仿宋_GB2312" w:hAnsi="仿宋" w:eastAsia="仿宋_GB2312"/>
                <w:b/>
                <w:bCs/>
                <w:sz w:val="18"/>
                <w:szCs w:val="18"/>
              </w:rPr>
              <w:t>住址</w:t>
            </w:r>
          </w:p>
        </w:tc>
        <w:tc>
          <w:tcPr>
            <w:tcW w:w="851" w:type="dxa"/>
            <w:shd w:val="clear" w:color="auto" w:fill="auto"/>
            <w:vAlign w:val="center"/>
          </w:tcPr>
          <w:p>
            <w:pPr>
              <w:spacing w:line="360" w:lineRule="exact"/>
              <w:ind w:left="-55" w:leftChars="-25" w:right="-55" w:rightChars="-25"/>
              <w:jc w:val="center"/>
              <w:rPr>
                <w:rFonts w:ascii="仿宋_GB2312" w:hAnsi="仿宋" w:eastAsia="仿宋_GB2312"/>
                <w:b/>
                <w:bCs/>
                <w:sz w:val="18"/>
                <w:szCs w:val="18"/>
              </w:rPr>
            </w:pPr>
            <w:r>
              <w:rPr>
                <w:rFonts w:hint="eastAsia" w:ascii="仿宋_GB2312" w:hAnsi="仿宋" w:eastAsia="仿宋_GB2312"/>
                <w:b/>
                <w:bCs/>
                <w:sz w:val="18"/>
                <w:szCs w:val="18"/>
              </w:rPr>
              <w:t>认购股份数</w:t>
            </w:r>
            <w:r>
              <w:rPr>
                <w:rFonts w:ascii="仿宋_GB2312" w:hAnsi="仿宋" w:eastAsia="仿宋_GB2312"/>
                <w:b/>
                <w:bCs/>
                <w:sz w:val="18"/>
                <w:szCs w:val="18"/>
              </w:rPr>
              <w:t>(</w:t>
            </w:r>
            <w:r>
              <w:rPr>
                <w:rFonts w:hint="eastAsia" w:ascii="仿宋_GB2312" w:hAnsi="仿宋" w:eastAsia="仿宋_GB2312"/>
                <w:b/>
                <w:bCs/>
                <w:sz w:val="18"/>
                <w:szCs w:val="18"/>
              </w:rPr>
              <w:t>万股</w:t>
            </w:r>
            <w:r>
              <w:rPr>
                <w:rFonts w:ascii="仿宋_GB2312" w:hAnsi="仿宋" w:eastAsia="仿宋_GB2312"/>
                <w:b/>
                <w:bCs/>
                <w:sz w:val="18"/>
                <w:szCs w:val="18"/>
              </w:rPr>
              <w:t>)</w:t>
            </w:r>
          </w:p>
        </w:tc>
        <w:tc>
          <w:tcPr>
            <w:tcW w:w="1143" w:type="dxa"/>
            <w:shd w:val="clear" w:color="auto" w:fill="auto"/>
            <w:vAlign w:val="center"/>
          </w:tcPr>
          <w:p>
            <w:pPr>
              <w:spacing w:line="360" w:lineRule="exact"/>
              <w:ind w:left="-55" w:leftChars="-25" w:right="-55" w:rightChars="-25"/>
              <w:jc w:val="center"/>
              <w:rPr>
                <w:rFonts w:ascii="仿宋_GB2312" w:hAnsi="仿宋" w:eastAsia="仿宋_GB2312"/>
                <w:b/>
                <w:bCs/>
                <w:sz w:val="18"/>
                <w:szCs w:val="18"/>
              </w:rPr>
            </w:pPr>
            <w:r>
              <w:rPr>
                <w:rFonts w:hint="eastAsia" w:ascii="仿宋_GB2312" w:hAnsi="仿宋" w:eastAsia="仿宋_GB2312"/>
                <w:b/>
                <w:bCs/>
                <w:sz w:val="18"/>
                <w:szCs w:val="18"/>
              </w:rPr>
              <w:t>持股比例（</w:t>
            </w:r>
            <w:r>
              <w:rPr>
                <w:rFonts w:ascii="仿宋_GB2312" w:hAnsi="仿宋" w:eastAsia="仿宋_GB2312"/>
                <w:b/>
                <w:bCs/>
                <w:sz w:val="18"/>
                <w:szCs w:val="18"/>
              </w:rPr>
              <w:t>%</w:t>
            </w:r>
            <w:r>
              <w:rPr>
                <w:rFonts w:hint="eastAsia" w:ascii="仿宋_GB2312" w:hAnsi="仿宋" w:eastAsia="仿宋_GB2312"/>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5" w:type="dxa"/>
            <w:shd w:val="clear" w:color="auto" w:fill="auto"/>
            <w:vAlign w:val="center"/>
          </w:tcPr>
          <w:p>
            <w:pPr>
              <w:spacing w:line="240" w:lineRule="exact"/>
              <w:jc w:val="center"/>
              <w:rPr>
                <w:rFonts w:ascii="仿宋_GB2312" w:hAnsi="宋体" w:cs="宋体"/>
                <w:sz w:val="18"/>
                <w:szCs w:val="18"/>
              </w:rPr>
            </w:pPr>
            <w:r>
              <w:rPr>
                <w:rFonts w:ascii="仿宋_GB2312" w:hAnsi="宋体" w:cs="宋体"/>
                <w:sz w:val="18"/>
                <w:szCs w:val="18"/>
              </w:rPr>
              <w:t>1</w:t>
            </w:r>
          </w:p>
        </w:tc>
        <w:tc>
          <w:tcPr>
            <w:tcW w:w="1242"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王立兵</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130229197703233615</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河北省唐山市玉田县鸦鸿桥镇新风村东大里2号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605.9</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85" w:type="dxa"/>
            <w:shd w:val="clear" w:color="auto" w:fill="auto"/>
            <w:vAlign w:val="center"/>
          </w:tcPr>
          <w:p>
            <w:pPr>
              <w:spacing w:line="240" w:lineRule="exact"/>
              <w:jc w:val="center"/>
              <w:rPr>
                <w:rFonts w:ascii="仿宋_GB2312" w:hAnsi="宋体" w:cs="宋体"/>
                <w:sz w:val="18"/>
                <w:szCs w:val="18"/>
              </w:rPr>
            </w:pPr>
            <w:r>
              <w:rPr>
                <w:rFonts w:ascii="仿宋_GB2312" w:hAnsi="宋体" w:cs="宋体"/>
                <w:sz w:val="18"/>
                <w:szCs w:val="18"/>
              </w:rPr>
              <w:t>2</w:t>
            </w:r>
          </w:p>
        </w:tc>
        <w:tc>
          <w:tcPr>
            <w:tcW w:w="1242"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吴振东</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130229198205030617</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河北省唐山市玉田县帅府盛典小区15栋1单元1201号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601.8</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5" w:type="dxa"/>
            <w:shd w:val="clear" w:color="auto" w:fill="auto"/>
            <w:vAlign w:val="center"/>
          </w:tcPr>
          <w:p>
            <w:pPr>
              <w:spacing w:line="240" w:lineRule="exact"/>
              <w:jc w:val="center"/>
              <w:rPr>
                <w:rFonts w:ascii="仿宋_GB2312" w:hAnsi="宋体" w:cs="宋体"/>
                <w:sz w:val="18"/>
                <w:szCs w:val="18"/>
              </w:rPr>
            </w:pPr>
            <w:r>
              <w:rPr>
                <w:rFonts w:hint="eastAsia" w:ascii="仿宋_GB2312" w:hAnsi="宋体" w:cs="宋体"/>
                <w:sz w:val="18"/>
                <w:szCs w:val="18"/>
              </w:rPr>
              <w:t>3</w:t>
            </w:r>
          </w:p>
        </w:tc>
        <w:tc>
          <w:tcPr>
            <w:tcW w:w="1242"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王刚</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130229197306175212</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窝洛沽镇魏庄子村裕丰大街48号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510</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5" w:type="dxa"/>
            <w:shd w:val="clear" w:color="auto" w:fill="auto"/>
            <w:vAlign w:val="center"/>
          </w:tcPr>
          <w:p>
            <w:pPr>
              <w:spacing w:line="240" w:lineRule="exact"/>
              <w:jc w:val="center"/>
              <w:rPr>
                <w:rFonts w:ascii="仿宋_GB2312" w:hAnsi="宋体" w:cs="宋体"/>
                <w:sz w:val="18"/>
                <w:szCs w:val="18"/>
              </w:rPr>
            </w:pPr>
            <w:r>
              <w:rPr>
                <w:rFonts w:hint="eastAsia" w:ascii="仿宋_GB2312" w:hAnsi="宋体" w:cs="宋体"/>
                <w:sz w:val="18"/>
                <w:szCs w:val="18"/>
              </w:rPr>
              <w:t>4</w:t>
            </w:r>
          </w:p>
        </w:tc>
        <w:tc>
          <w:tcPr>
            <w:tcW w:w="1242"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李宝荣</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130229196107075628</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唐山市玉田县玉田镇府后1栋3单元306号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503.05</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auto"/>
            <w:vAlign w:val="center"/>
          </w:tcPr>
          <w:p>
            <w:pPr>
              <w:spacing w:line="240" w:lineRule="exact"/>
              <w:jc w:val="center"/>
              <w:rPr>
                <w:rFonts w:ascii="仿宋_GB2312" w:hAnsi="宋体" w:cs="宋体"/>
                <w:sz w:val="18"/>
                <w:szCs w:val="18"/>
              </w:rPr>
            </w:pPr>
            <w:r>
              <w:rPr>
                <w:rFonts w:hint="eastAsia" w:ascii="仿宋_GB2312" w:hAnsi="宋体" w:cs="宋体"/>
                <w:sz w:val="18"/>
                <w:szCs w:val="18"/>
              </w:rPr>
              <w:t>5</w:t>
            </w:r>
          </w:p>
        </w:tc>
        <w:tc>
          <w:tcPr>
            <w:tcW w:w="1242"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吉烘武</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130226198104100111</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下朱庄街京津公路集贤花园1号楼1门104号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501</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auto"/>
            <w:vAlign w:val="center"/>
          </w:tcPr>
          <w:p>
            <w:pPr>
              <w:spacing w:line="240" w:lineRule="exact"/>
              <w:jc w:val="center"/>
              <w:rPr>
                <w:rFonts w:ascii="仿宋_GB2312" w:hAnsi="宋体" w:cs="宋体"/>
                <w:sz w:val="18"/>
                <w:szCs w:val="18"/>
              </w:rPr>
            </w:pPr>
            <w:r>
              <w:rPr>
                <w:rFonts w:hint="eastAsia" w:ascii="仿宋_GB2312" w:hAnsi="宋体" w:cs="宋体"/>
                <w:sz w:val="18"/>
                <w:szCs w:val="18"/>
              </w:rPr>
              <w:t>6</w:t>
            </w:r>
          </w:p>
        </w:tc>
        <w:tc>
          <w:tcPr>
            <w:tcW w:w="1242"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张志慧</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130229195808230040</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玉田镇彭西东然路左十里2号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399</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auto"/>
            <w:vAlign w:val="center"/>
          </w:tcPr>
          <w:p>
            <w:pPr>
              <w:spacing w:line="240" w:lineRule="exact"/>
              <w:jc w:val="center"/>
              <w:rPr>
                <w:rFonts w:ascii="仿宋_GB2312" w:hAnsi="宋体" w:cs="宋体"/>
                <w:sz w:val="18"/>
                <w:szCs w:val="18"/>
              </w:rPr>
            </w:pPr>
            <w:r>
              <w:rPr>
                <w:rFonts w:hint="eastAsia" w:ascii="仿宋_GB2312" w:hAnsi="宋体" w:cs="宋体"/>
                <w:sz w:val="18"/>
                <w:szCs w:val="18"/>
              </w:rPr>
              <w:t>7</w:t>
            </w:r>
          </w:p>
        </w:tc>
        <w:tc>
          <w:tcPr>
            <w:tcW w:w="1242"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杨秀良</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130229197105171055</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河北省唐山市玉田县郭家屯乡刘典屯村市场西八街16</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361</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auto"/>
            <w:vAlign w:val="center"/>
          </w:tcPr>
          <w:p>
            <w:pPr>
              <w:spacing w:line="240" w:lineRule="exact"/>
              <w:jc w:val="center"/>
              <w:rPr>
                <w:rFonts w:ascii="仿宋_GB2312" w:hAnsi="宋体" w:cs="宋体"/>
                <w:sz w:val="18"/>
                <w:szCs w:val="18"/>
              </w:rPr>
            </w:pPr>
            <w:r>
              <w:rPr>
                <w:rFonts w:hint="eastAsia" w:ascii="仿宋_GB2312" w:hAnsi="宋体" w:cs="宋体"/>
                <w:sz w:val="18"/>
                <w:szCs w:val="18"/>
              </w:rPr>
              <w:t>8</w:t>
            </w:r>
          </w:p>
        </w:tc>
        <w:tc>
          <w:tcPr>
            <w:tcW w:w="1242"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齐光秀</w:t>
            </w:r>
          </w:p>
        </w:tc>
        <w:tc>
          <w:tcPr>
            <w:tcW w:w="1843"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13022919540504004X</w:t>
            </w:r>
          </w:p>
        </w:tc>
        <w:tc>
          <w:tcPr>
            <w:tcW w:w="2410" w:type="dxa"/>
            <w:shd w:val="clear" w:color="auto" w:fill="auto"/>
            <w:vAlign w:val="bottom"/>
          </w:tcPr>
          <w:p>
            <w:pPr>
              <w:rPr>
                <w:rFonts w:ascii="仿宋_GB2312" w:hAnsi="宋体" w:eastAsia="仿宋_GB2312" w:cs="宋体"/>
                <w:sz w:val="18"/>
                <w:szCs w:val="18"/>
              </w:rPr>
            </w:pPr>
            <w:r>
              <w:rPr>
                <w:rFonts w:hint="eastAsia" w:ascii="仿宋_GB2312" w:hAnsi="宋体" w:eastAsia="仿宋_GB2312" w:cs="宋体"/>
                <w:sz w:val="18"/>
                <w:szCs w:val="18"/>
              </w:rPr>
              <w:t>玉田县玉田镇彭西东盎路左六里3号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300</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auto"/>
            <w:vAlign w:val="center"/>
          </w:tcPr>
          <w:p>
            <w:pPr>
              <w:spacing w:line="240" w:lineRule="exact"/>
              <w:jc w:val="center"/>
              <w:rPr>
                <w:rFonts w:ascii="仿宋_GB2312" w:hAnsi="宋体" w:cs="宋体"/>
                <w:sz w:val="18"/>
                <w:szCs w:val="18"/>
              </w:rPr>
            </w:pPr>
            <w:r>
              <w:rPr>
                <w:rFonts w:hint="eastAsia" w:ascii="仿宋_GB2312" w:hAnsi="宋体" w:cs="宋体"/>
                <w:sz w:val="18"/>
                <w:szCs w:val="18"/>
              </w:rPr>
              <w:t>9</w:t>
            </w:r>
          </w:p>
        </w:tc>
        <w:tc>
          <w:tcPr>
            <w:tcW w:w="1242"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邱华伟</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130229197911215817</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河北省唐山市玉田县玉田镇铁南西街益康御馨园2栋东门102号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300</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auto"/>
            <w:vAlign w:val="center"/>
          </w:tcPr>
          <w:p>
            <w:pPr>
              <w:spacing w:line="240" w:lineRule="exact"/>
              <w:jc w:val="center"/>
              <w:rPr>
                <w:rFonts w:ascii="仿宋_GB2312" w:hAnsi="宋体" w:cs="宋体"/>
                <w:sz w:val="18"/>
                <w:szCs w:val="18"/>
              </w:rPr>
            </w:pPr>
            <w:r>
              <w:rPr>
                <w:rFonts w:hint="eastAsia" w:ascii="仿宋_GB2312" w:hAnsi="宋体" w:cs="宋体"/>
                <w:sz w:val="18"/>
                <w:szCs w:val="18"/>
              </w:rPr>
              <w:t>10</w:t>
            </w:r>
          </w:p>
        </w:tc>
        <w:tc>
          <w:tcPr>
            <w:tcW w:w="1242"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邱秀娟</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130229197412106026</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河北省唐山市玉田县林西镇前杨庄村前杨一街8号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300</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auto"/>
            <w:vAlign w:val="center"/>
          </w:tcPr>
          <w:p>
            <w:pPr>
              <w:spacing w:line="240" w:lineRule="exact"/>
              <w:jc w:val="center"/>
              <w:rPr>
                <w:rFonts w:ascii="仿宋_GB2312" w:hAnsi="宋体" w:cs="宋体"/>
                <w:sz w:val="18"/>
                <w:szCs w:val="18"/>
              </w:rPr>
            </w:pPr>
            <w:r>
              <w:rPr>
                <w:rFonts w:hint="eastAsia" w:ascii="仿宋_GB2312" w:hAnsi="宋体" w:cs="宋体"/>
                <w:sz w:val="18"/>
                <w:szCs w:val="18"/>
              </w:rPr>
              <w:t>11</w:t>
            </w:r>
          </w:p>
        </w:tc>
        <w:tc>
          <w:tcPr>
            <w:tcW w:w="1242"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邱晓霞</w:t>
            </w:r>
          </w:p>
        </w:tc>
        <w:tc>
          <w:tcPr>
            <w:tcW w:w="1843"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130229197310035845</w:t>
            </w:r>
          </w:p>
        </w:tc>
        <w:tc>
          <w:tcPr>
            <w:tcW w:w="241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cs="宋体"/>
                <w:sz w:val="18"/>
                <w:szCs w:val="18"/>
              </w:rPr>
              <w:t>天津市宝坻区潮阳街津国公路宝皇花园4号楼2门101号</w:t>
            </w:r>
          </w:p>
        </w:tc>
        <w:tc>
          <w:tcPr>
            <w:tcW w:w="851" w:type="dxa"/>
            <w:shd w:val="clear" w:color="auto" w:fill="auto"/>
            <w:vAlign w:val="bottom"/>
          </w:tcPr>
          <w:p>
            <w:pPr>
              <w:jc w:val="center"/>
              <w:rPr>
                <w:rFonts w:ascii="仿宋_GB2312" w:hAnsi="宋体" w:eastAsia="仿宋_GB2312" w:cs="宋体"/>
                <w:sz w:val="18"/>
                <w:szCs w:val="18"/>
              </w:rPr>
            </w:pPr>
            <w:r>
              <w:rPr>
                <w:rFonts w:hint="eastAsia" w:ascii="仿宋_GB2312" w:hAnsi="宋体" w:eastAsia="仿宋_GB2312" w:cs="宋体"/>
                <w:sz w:val="18"/>
                <w:szCs w:val="18"/>
              </w:rPr>
              <w:t>300</w:t>
            </w:r>
          </w:p>
        </w:tc>
        <w:tc>
          <w:tcPr>
            <w:tcW w:w="1143" w:type="dxa"/>
            <w:shd w:val="clear" w:color="auto" w:fill="auto"/>
            <w:vAlign w:val="bottom"/>
          </w:tcPr>
          <w:p>
            <w:pPr>
              <w:jc w:val="right"/>
              <w:rPr>
                <w:rFonts w:ascii="宋体" w:hAnsi="宋体" w:eastAsia="宋体" w:cs="宋体"/>
                <w:color w:val="000000"/>
                <w:sz w:val="20"/>
                <w:szCs w:val="20"/>
              </w:rPr>
            </w:pPr>
            <w:r>
              <w:rPr>
                <w:rFonts w:hint="eastAsia"/>
                <w:color w:val="000000"/>
                <w:sz w:val="20"/>
                <w:szCs w:val="20"/>
              </w:rPr>
              <w:t xml:space="preserve">0.47 </w:t>
            </w:r>
          </w:p>
        </w:tc>
      </w:tr>
    </w:tbl>
    <w:p>
      <w:pPr>
        <w:shd w:val="clear" w:color="auto" w:fill="FFFFFF"/>
        <w:adjustRightInd/>
        <w:snapToGrid/>
        <w:spacing w:beforeLines="100" w:after="0" w:line="560" w:lineRule="exact"/>
        <w:ind w:firstLine="601"/>
        <w:rPr>
          <w:rFonts w:ascii="楷体" w:hAnsi="楷体" w:eastAsia="楷体" w:cs="宋体"/>
          <w:b/>
          <w:bCs/>
          <w:sz w:val="30"/>
          <w:szCs w:val="30"/>
        </w:rPr>
      </w:pPr>
      <w:r>
        <w:rPr>
          <w:rFonts w:hint="eastAsia" w:ascii="楷体" w:hAnsi="楷体" w:eastAsia="楷体" w:cs="宋体"/>
          <w:b/>
          <w:bCs/>
          <w:sz w:val="30"/>
          <w:szCs w:val="30"/>
        </w:rPr>
        <w:t>4.1.2    股东权益变动情况</w:t>
      </w:r>
    </w:p>
    <w:p>
      <w:pPr>
        <w:shd w:val="clear" w:color="auto" w:fill="FFFFFF"/>
        <w:adjustRightInd/>
        <w:snapToGrid/>
        <w:spacing w:before="100" w:beforeAutospacing="1" w:after="100" w:afterAutospacing="1" w:line="600" w:lineRule="atLeast"/>
        <w:ind w:firstLine="600"/>
        <w:rPr>
          <w:rFonts w:ascii="黑体" w:hAnsi="黑体" w:eastAsia="黑体" w:cs="宋体"/>
          <w:sz w:val="30"/>
          <w:szCs w:val="30"/>
        </w:rPr>
      </w:pPr>
      <w:r>
        <w:rPr>
          <w:rFonts w:hint="eastAsia" w:ascii="仿宋_GB2312" w:hAnsi="微软雅黑" w:eastAsia="仿宋_GB2312" w:cs="宋体"/>
          <w:b/>
          <w:sz w:val="28"/>
          <w:szCs w:val="28"/>
        </w:rPr>
        <w:t xml:space="preserve">表4－4   </w:t>
      </w:r>
      <w:r>
        <w:rPr>
          <w:rFonts w:hint="eastAsia" w:ascii="仿宋_GB2312" w:hAnsi="仿宋" w:eastAsia="仿宋_GB2312"/>
          <w:b/>
          <w:snapToGrid w:val="0"/>
          <w:sz w:val="28"/>
          <w:szCs w:val="28"/>
        </w:rPr>
        <w:t xml:space="preserve">股东权益变动情况表             单位：万元  </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6"/>
        <w:gridCol w:w="1929"/>
        <w:gridCol w:w="1929"/>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86" w:type="dxa"/>
            <w:vAlign w:val="center"/>
          </w:tcPr>
          <w:p>
            <w:pPr>
              <w:spacing w:line="240" w:lineRule="exact"/>
              <w:jc w:val="center"/>
              <w:rPr>
                <w:rFonts w:ascii="仿宋_GB2312" w:hAnsi="仿宋_GB2312" w:eastAsia="仿宋_GB2312" w:cs="仿宋_GB2312"/>
                <w:sz w:val="28"/>
                <w:szCs w:val="28"/>
              </w:rPr>
            </w:pPr>
          </w:p>
        </w:tc>
        <w:tc>
          <w:tcPr>
            <w:tcW w:w="1929"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2022年末</w:t>
            </w:r>
          </w:p>
        </w:tc>
        <w:tc>
          <w:tcPr>
            <w:tcW w:w="1929" w:type="dxa"/>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2021年末</w:t>
            </w:r>
          </w:p>
        </w:tc>
        <w:tc>
          <w:tcPr>
            <w:tcW w:w="1930"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586" w:type="dxa"/>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股 本 金</w:t>
            </w:r>
          </w:p>
        </w:tc>
        <w:tc>
          <w:tcPr>
            <w:tcW w:w="1929"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63428.21</w:t>
            </w:r>
          </w:p>
        </w:tc>
        <w:tc>
          <w:tcPr>
            <w:tcW w:w="1929" w:type="dxa"/>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44528.21</w:t>
            </w:r>
          </w:p>
        </w:tc>
        <w:tc>
          <w:tcPr>
            <w:tcW w:w="1930"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86" w:type="dxa"/>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资本公积</w:t>
            </w:r>
          </w:p>
        </w:tc>
        <w:tc>
          <w:tcPr>
            <w:tcW w:w="1929"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1200.00</w:t>
            </w:r>
          </w:p>
        </w:tc>
        <w:tc>
          <w:tcPr>
            <w:tcW w:w="1929" w:type="dxa"/>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1200.00</w:t>
            </w:r>
          </w:p>
        </w:tc>
        <w:tc>
          <w:tcPr>
            <w:tcW w:w="1930"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盈余公积</w:t>
            </w:r>
          </w:p>
        </w:tc>
        <w:tc>
          <w:tcPr>
            <w:tcW w:w="1929"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13753.68</w:t>
            </w:r>
          </w:p>
        </w:tc>
        <w:tc>
          <w:tcPr>
            <w:tcW w:w="1929" w:type="dxa"/>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12922.28</w:t>
            </w:r>
          </w:p>
        </w:tc>
        <w:tc>
          <w:tcPr>
            <w:tcW w:w="1930"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一般风险准备</w:t>
            </w:r>
          </w:p>
        </w:tc>
        <w:tc>
          <w:tcPr>
            <w:tcW w:w="1929"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46664.91</w:t>
            </w:r>
          </w:p>
        </w:tc>
        <w:tc>
          <w:tcPr>
            <w:tcW w:w="1929" w:type="dxa"/>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72664.91</w:t>
            </w:r>
          </w:p>
        </w:tc>
        <w:tc>
          <w:tcPr>
            <w:tcW w:w="1930"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未分配利润</w:t>
            </w:r>
          </w:p>
        </w:tc>
        <w:tc>
          <w:tcPr>
            <w:tcW w:w="1929"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15214.61</w:t>
            </w:r>
          </w:p>
        </w:tc>
        <w:tc>
          <w:tcPr>
            <w:tcW w:w="1929" w:type="dxa"/>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14074.20</w:t>
            </w:r>
          </w:p>
        </w:tc>
        <w:tc>
          <w:tcPr>
            <w:tcW w:w="1930"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其他综合收益</w:t>
            </w:r>
          </w:p>
        </w:tc>
        <w:tc>
          <w:tcPr>
            <w:tcW w:w="1929"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2057.19</w:t>
            </w:r>
          </w:p>
        </w:tc>
        <w:tc>
          <w:tcPr>
            <w:tcW w:w="1929" w:type="dxa"/>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3533.79</w:t>
            </w:r>
          </w:p>
        </w:tc>
        <w:tc>
          <w:tcPr>
            <w:tcW w:w="1930"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6" w:type="dxa"/>
            <w:vAlign w:val="center"/>
          </w:tcPr>
          <w:p>
            <w:pPr>
              <w:adjustRightInd/>
              <w:snapToGrid/>
              <w:spacing w:before="100" w:beforeAutospacing="1" w:after="100" w:afterAutospacing="1"/>
              <w:jc w:val="center"/>
              <w:rPr>
                <w:rFonts w:ascii="仿宋_GB2312" w:hAnsi="仿宋_GB2312" w:eastAsia="仿宋_GB2312" w:cs="仿宋_GB2312"/>
                <w:sz w:val="28"/>
                <w:szCs w:val="28"/>
              </w:rPr>
            </w:pPr>
            <w:r>
              <w:rPr>
                <w:rFonts w:hint="eastAsia" w:ascii="仿宋_GB2312" w:hAnsi="仿宋_GB2312" w:eastAsia="仿宋_GB2312" w:cs="仿宋_GB2312"/>
                <w:bCs/>
                <w:sz w:val="28"/>
                <w:szCs w:val="28"/>
              </w:rPr>
              <w:t>股东权益合计</w:t>
            </w:r>
          </w:p>
        </w:tc>
        <w:tc>
          <w:tcPr>
            <w:tcW w:w="1929"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142318.60</w:t>
            </w:r>
          </w:p>
        </w:tc>
        <w:tc>
          <w:tcPr>
            <w:tcW w:w="1929" w:type="dxa"/>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135709.80</w:t>
            </w:r>
          </w:p>
        </w:tc>
        <w:tc>
          <w:tcPr>
            <w:tcW w:w="1930" w:type="dxa"/>
            <w:shd w:val="clear" w:color="auto" w:fill="auto"/>
            <w:vAlign w:val="center"/>
          </w:tcPr>
          <w:p>
            <w:pPr>
              <w:adjustRightInd/>
              <w:snapToGrid/>
              <w:spacing w:before="100" w:beforeAutospacing="1" w:after="100" w:afterAutospacing="1"/>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6608.8</w:t>
            </w:r>
          </w:p>
        </w:tc>
      </w:tr>
    </w:tbl>
    <w:p/>
    <w:p>
      <w:pPr>
        <w:shd w:val="clear" w:color="auto" w:fill="FFFFFF"/>
        <w:adjustRightInd/>
        <w:snapToGrid/>
        <w:spacing w:before="100" w:beforeAutospacing="1" w:after="100" w:afterAutospacing="1" w:line="555" w:lineRule="atLeast"/>
        <w:ind w:firstLine="600" w:firstLineChars="200"/>
        <w:rPr>
          <w:rFonts w:ascii="微软雅黑" w:hAnsi="微软雅黑" w:cs="宋体"/>
          <w:sz w:val="18"/>
          <w:szCs w:val="18"/>
          <w:highlight w:val="none"/>
        </w:rPr>
      </w:pPr>
      <w:r>
        <w:rPr>
          <w:rFonts w:hint="eastAsia" w:ascii="黑体" w:hAnsi="黑体" w:eastAsia="黑体" w:cs="宋体"/>
          <w:sz w:val="30"/>
          <w:szCs w:val="30"/>
          <w:highlight w:val="none"/>
        </w:rPr>
        <w:t>4.1.3 关联交易情况</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firstLine="601"/>
        <w:textAlignment w:val="auto"/>
        <w:outlineLvl w:val="9"/>
        <w:rPr>
          <w:rFonts w:ascii="仿宋_GB2312" w:hAnsi="仿宋" w:eastAsia="仿宋_GB2312" w:cs="宋体"/>
          <w:sz w:val="30"/>
          <w:szCs w:val="30"/>
          <w:highlight w:val="none"/>
        </w:rPr>
      </w:pPr>
      <w:r>
        <w:rPr>
          <w:rFonts w:hint="eastAsia" w:ascii="仿宋_GB2312" w:hAnsi="仿宋" w:eastAsia="仿宋_GB2312" w:cs="宋体"/>
          <w:sz w:val="30"/>
          <w:szCs w:val="30"/>
          <w:highlight w:val="none"/>
        </w:rPr>
        <w:t>本行的关联交易主要是对本行内部人员（本行董事、监事、总行及支行高级管理人员）及其关联方、持股5%以上法人股东及其高级管理人员的贷款、银行承兑汇票及保证金差额部分的授信。本行董事会下设审计与关联交易控制委员会，负责审批关联交易事项等。</w:t>
      </w:r>
    </w:p>
    <w:p>
      <w:pPr>
        <w:keepNext w:val="0"/>
        <w:keepLines w:val="0"/>
        <w:pageBreakBefore w:val="0"/>
        <w:widowControl/>
        <w:kinsoku/>
        <w:wordWrap/>
        <w:overflowPunct/>
        <w:topLinePunct w:val="0"/>
        <w:autoSpaceDE/>
        <w:autoSpaceDN/>
        <w:bidi w:val="0"/>
        <w:spacing w:line="600" w:lineRule="exact"/>
        <w:ind w:firstLine="600" w:firstLineChars="200"/>
        <w:textAlignment w:val="auto"/>
        <w:outlineLvl w:val="9"/>
        <w:rPr>
          <w:rFonts w:hint="eastAsia" w:ascii="仿宋_GB2312" w:hAns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截止报告期末</w:t>
      </w:r>
      <w:r>
        <w:rPr>
          <w:rFonts w:hint="eastAsia" w:ascii="仿宋_GB2312" w:hAnsi="仿宋_GB2312" w:eastAsia="仿宋_GB2312" w:cs="仿宋_GB2312"/>
          <w:color w:val="000000"/>
          <w:kern w:val="0"/>
          <w:sz w:val="30"/>
          <w:szCs w:val="30"/>
          <w:lang w:val="zh-CN"/>
        </w:rPr>
        <w:t>：</w:t>
      </w:r>
    </w:p>
    <w:p>
      <w:pPr>
        <w:keepNext w:val="0"/>
        <w:keepLines w:val="0"/>
        <w:pageBreakBefore w:val="0"/>
        <w:widowControl/>
        <w:kinsoku/>
        <w:wordWrap/>
        <w:overflowPunct/>
        <w:topLinePunct w:val="0"/>
        <w:autoSpaceDE/>
        <w:autoSpaceDN/>
        <w:bidi w:val="0"/>
        <w:spacing w:line="600" w:lineRule="exact"/>
        <w:ind w:firstLine="600" w:firstLineChars="200"/>
        <w:textAlignment w:val="auto"/>
        <w:outlineLvl w:val="9"/>
        <w:rPr>
          <w:rFonts w:hint="eastAsia" w:ascii="仿宋_GB2312" w:hAnsi="仿宋_GB2312" w:eastAsia="仿宋_GB2312" w:cs="仿宋_GB2312"/>
          <w:i w:val="0"/>
          <w:color w:val="000000" w:themeColor="text1"/>
          <w:kern w:val="0"/>
          <w:sz w:val="30"/>
          <w:szCs w:val="30"/>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30"/>
          <w:szCs w:val="30"/>
          <w:highlight w:val="none"/>
          <w:u w:val="none"/>
          <w:lang w:val="en-US" w:eastAsia="zh-CN" w:bidi="ar"/>
          <w14:textFill>
            <w14:solidFill>
              <w14:schemeClr w14:val="tx1"/>
            </w14:solidFill>
          </w14:textFill>
        </w:rPr>
        <w:t>1.2022年度共涉及关</w:t>
      </w:r>
      <w:r>
        <w:rPr>
          <w:rFonts w:hint="eastAsia" w:ascii="仿宋_GB2312" w:hAnsi="仿宋_GB2312" w:eastAsia="仿宋_GB2312" w:cs="仿宋_GB2312"/>
          <w:i w:val="0"/>
          <w:color w:val="auto"/>
          <w:kern w:val="0"/>
          <w:sz w:val="30"/>
          <w:szCs w:val="30"/>
          <w:highlight w:val="none"/>
          <w:u w:val="none"/>
          <w:lang w:val="en-US" w:eastAsia="zh-CN" w:bidi="ar"/>
        </w:rPr>
        <w:t>联交易30户42笔授信业务，累计授信额36018.70万元，其中：涉及，重大关联交易的5户15笔34700</w:t>
      </w:r>
      <w:r>
        <w:rPr>
          <w:rFonts w:hint="eastAsia" w:ascii="仿宋_GB2312" w:hAnsi="仿宋_GB2312" w:eastAsia="仿宋_GB2312" w:cs="仿宋_GB2312"/>
          <w:i w:val="0"/>
          <w:color w:val="000000" w:themeColor="text1"/>
          <w:kern w:val="0"/>
          <w:sz w:val="30"/>
          <w:szCs w:val="30"/>
          <w:highlight w:val="none"/>
          <w:u w:val="none"/>
          <w:lang w:val="en-US" w:eastAsia="zh-CN" w:bidi="ar"/>
          <w14:textFill>
            <w14:solidFill>
              <w14:schemeClr w14:val="tx1"/>
            </w14:solidFill>
          </w14:textFill>
        </w:rPr>
        <w:t>万元。</w:t>
      </w:r>
    </w:p>
    <w:p>
      <w:pPr>
        <w:keepNext w:val="0"/>
        <w:keepLines w:val="0"/>
        <w:pageBreakBefore w:val="0"/>
        <w:widowControl/>
        <w:shd w:val="clear"/>
        <w:kinsoku/>
        <w:wordWrap/>
        <w:overflowPunct/>
        <w:topLinePunct w:val="0"/>
        <w:autoSpaceDE/>
        <w:autoSpaceDN/>
        <w:bidi w:val="0"/>
        <w:spacing w:line="600" w:lineRule="exact"/>
        <w:ind w:firstLine="600" w:firstLineChars="200"/>
        <w:textAlignment w:val="auto"/>
        <w:outlineLvl w:val="9"/>
        <w:rPr>
          <w:rFonts w:hint="eastAsia" w:ascii="仿宋_GB2312" w:hAnsi="仿宋_GB2312" w:eastAsia="仿宋_GB2312" w:cs="仿宋_GB2312"/>
          <w:color w:val="auto"/>
          <w:kern w:val="0"/>
          <w:sz w:val="30"/>
          <w:szCs w:val="30"/>
          <w:lang w:val="zh-CN"/>
        </w:rPr>
      </w:pPr>
      <w:r>
        <w:rPr>
          <w:rFonts w:hint="eastAsia" w:ascii="仿宋_GB2312" w:hAnsi="仿宋_GB2312" w:eastAsia="仿宋_GB2312" w:cs="仿宋_GB2312"/>
          <w:i w:val="0"/>
          <w:color w:val="auto"/>
          <w:kern w:val="0"/>
          <w:sz w:val="30"/>
          <w:szCs w:val="30"/>
          <w:u w:val="none"/>
          <w:lang w:val="en-US" w:eastAsia="zh-CN" w:bidi="ar"/>
        </w:rPr>
        <w:t>2.资本净额为上一季度资本净额，单位万元计算。</w:t>
      </w:r>
      <w:r>
        <w:rPr>
          <w:rFonts w:hint="eastAsia" w:ascii="仿宋_GB2312" w:hAnsi="仿宋_GB2312" w:eastAsia="仿宋_GB2312" w:cs="仿宋_GB2312"/>
          <w:color w:val="auto"/>
          <w:kern w:val="0"/>
          <w:sz w:val="30"/>
          <w:szCs w:val="30"/>
          <w:lang w:val="zh-CN"/>
        </w:rPr>
        <w:t>如下：</w:t>
      </w:r>
    </w:p>
    <w:tbl>
      <w:tblPr>
        <w:tblStyle w:val="5"/>
        <w:tblW w:w="8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5"/>
        <w:gridCol w:w="2596"/>
        <w:gridCol w:w="1530"/>
        <w:gridCol w:w="660"/>
        <w:gridCol w:w="855"/>
        <w:gridCol w:w="840"/>
        <w:gridCol w:w="100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435" w:type="dxa"/>
            <w:tcBorders>
              <w:top w:val="nil"/>
              <w:left w:val="nil"/>
              <w:bottom w:val="nil"/>
              <w:right w:val="nil"/>
            </w:tcBorders>
            <w:shd w:val="clear" w:color="auto" w:fill="auto"/>
            <w:noWrap/>
            <w:tcMar>
              <w:top w:w="15" w:type="dxa"/>
              <w:left w:w="15" w:type="dxa"/>
              <w:right w:w="15" w:type="dxa"/>
            </w:tcMar>
            <w:vAlign w:val="center"/>
          </w:tcPr>
          <w:p>
            <w:pPr>
              <w:shd w:val="clear"/>
              <w:jc w:val="center"/>
              <w:rPr>
                <w:rFonts w:hint="eastAsia" w:ascii="宋体" w:hAnsi="宋体" w:eastAsia="宋体" w:cs="宋体"/>
                <w:i w:val="0"/>
                <w:color w:val="auto"/>
                <w:sz w:val="18"/>
                <w:szCs w:val="18"/>
                <w:u w:val="none"/>
              </w:rPr>
            </w:pPr>
          </w:p>
        </w:tc>
        <w:tc>
          <w:tcPr>
            <w:tcW w:w="2596" w:type="dxa"/>
            <w:tcBorders>
              <w:top w:val="nil"/>
              <w:left w:val="nil"/>
              <w:bottom w:val="nil"/>
              <w:right w:val="nil"/>
            </w:tcBorders>
            <w:shd w:val="clear" w:color="auto" w:fill="auto"/>
            <w:noWrap/>
            <w:tcMar>
              <w:top w:w="15" w:type="dxa"/>
              <w:left w:w="15" w:type="dxa"/>
              <w:right w:w="15" w:type="dxa"/>
            </w:tcMar>
            <w:vAlign w:val="center"/>
          </w:tcPr>
          <w:p>
            <w:pPr>
              <w:shd w:val="clear"/>
              <w:rPr>
                <w:rFonts w:hint="eastAsia" w:ascii="宋体" w:hAnsi="宋体" w:eastAsia="宋体" w:cs="宋体"/>
                <w:i w:val="0"/>
                <w:color w:val="auto"/>
                <w:sz w:val="18"/>
                <w:szCs w:val="18"/>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shd w:val="clear"/>
              <w:rPr>
                <w:rFonts w:hint="eastAsia" w:ascii="宋体" w:hAnsi="宋体" w:eastAsia="宋体" w:cs="宋体"/>
                <w:i w:val="0"/>
                <w:color w:val="auto"/>
                <w:sz w:val="18"/>
                <w:szCs w:val="18"/>
                <w:u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auto"/>
                <w:sz w:val="18"/>
                <w:szCs w:val="18"/>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auto"/>
                <w:sz w:val="18"/>
                <w:szCs w:val="18"/>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hd w:val="clear"/>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单位：万元</w:t>
            </w:r>
          </w:p>
        </w:tc>
        <w:tc>
          <w:tcPr>
            <w:tcW w:w="1005" w:type="dxa"/>
            <w:tcBorders>
              <w:top w:val="nil"/>
              <w:left w:val="nil"/>
              <w:bottom w:val="nil"/>
              <w:right w:val="nil"/>
            </w:tcBorders>
            <w:shd w:val="clear" w:color="auto" w:fill="auto"/>
            <w:noWrap/>
            <w:tcMar>
              <w:top w:w="15" w:type="dxa"/>
              <w:left w:w="15" w:type="dxa"/>
              <w:right w:w="15" w:type="dxa"/>
            </w:tcMar>
            <w:vAlign w:val="center"/>
          </w:tcPr>
          <w:p>
            <w:pPr>
              <w:shd w:val="clear"/>
              <w:jc w:val="right"/>
              <w:rPr>
                <w:rFonts w:hint="eastAsia" w:ascii="宋体" w:hAnsi="宋体" w:eastAsia="宋体" w:cs="宋体"/>
                <w:i w:val="0"/>
                <w:color w:val="auto"/>
                <w:sz w:val="18"/>
                <w:szCs w:val="18"/>
                <w:u w:val="none"/>
              </w:rPr>
            </w:pPr>
          </w:p>
        </w:tc>
        <w:tc>
          <w:tcPr>
            <w:tcW w:w="1065" w:type="dxa"/>
            <w:tcBorders>
              <w:top w:val="nil"/>
              <w:left w:val="nil"/>
              <w:bottom w:val="nil"/>
              <w:right w:val="nil"/>
            </w:tcBorders>
            <w:shd w:val="clear" w:color="auto" w:fill="auto"/>
            <w:noWrap/>
            <w:tcMar>
              <w:top w:w="15" w:type="dxa"/>
              <w:left w:w="15" w:type="dxa"/>
              <w:right w:w="15" w:type="dxa"/>
            </w:tcMar>
            <w:vAlign w:val="center"/>
          </w:tcPr>
          <w:p>
            <w:pPr>
              <w:shd w:val="clea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序号</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客户名称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授信日期</w:t>
            </w:r>
          </w:p>
        </w:tc>
        <w:tc>
          <w:tcPr>
            <w:tcW w:w="1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单笔授信</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总授信/集</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1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团客户授信</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金额</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占资本</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金额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占资本</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一般关联/重大关联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净额比例</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eastAsia" w:ascii="仿宋_GB2312" w:hAnsi="宋体" w:eastAsia="仿宋_GB2312" w:cs="仿宋_GB2312"/>
                <w:i w:val="0"/>
                <w:color w:val="auto"/>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仿宋_GB2312" w:hAnsi="宋体" w:eastAsia="仿宋_GB2312" w:cs="仿宋_GB2312"/>
                <w:i w:val="0"/>
                <w:color w:val="auto"/>
                <w:sz w:val="18"/>
                <w:szCs w:val="18"/>
                <w:u w:val="none"/>
              </w:rPr>
            </w:pPr>
            <w:r>
              <w:rPr>
                <w:rFonts w:hint="eastAsia" w:ascii="仿宋_GB2312" w:hAnsi="宋体" w:eastAsia="仿宋_GB2312" w:cs="仿宋_GB2312"/>
                <w:i w:val="0"/>
                <w:color w:val="auto"/>
                <w:kern w:val="0"/>
                <w:sz w:val="18"/>
                <w:szCs w:val="18"/>
                <w:u w:val="none"/>
                <w:lang w:val="en-US" w:eastAsia="zh-CN" w:bidi="ar"/>
              </w:rPr>
              <w:t>净额比例</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唐山弘也特种水泥有限公司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2022年01月21日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11895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2022年02月20日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唐山金马启新水泥有限公司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2022年02月25日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14050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8.46%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唐山金马启新水泥有限公司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2022年03月17日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14050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8.46%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唐山金马启新水泥有限公司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2022年04月15日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2950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1.78%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宋光娜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2022年05月07日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唐山金马启新水泥有限公司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2022年06月07日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0.60%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静大民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2022年06月23日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val="en-US" w:eastAsia="zh-CN"/>
              </w:rPr>
              <w:t>400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0.36%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9</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屈淑芹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2022年07月11日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张贻超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2022年07月14日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both"/>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hd w:val="clear"/>
              <w:jc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玉田县顺发实业有限公司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2022年09月03日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玉田县顺发实业有限公司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2022年09月03日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1250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15500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玉田县顺发实业有限公司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2022年09月03日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15500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孙志丽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2022年09月14日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江小波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2022年09月16日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王汝国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2022年09月16日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17</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宋光娜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2022年09月19日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唐山前进钢铁有限公司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2022年09月20日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1.95%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val="en-US" w:eastAsia="zh-CN"/>
              </w:rPr>
              <w:t>15700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13.94%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19</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李丙臣</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2022年09月20日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唐山前进塑料制品有限公司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2022年09月20日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val="en-US" w:eastAsia="zh-CN"/>
              </w:rPr>
              <w:t>15700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13.94%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21</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王金艳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2022年09月23日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唐山前进塑料制品有限公司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2022年09月20日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val="en-US" w:eastAsia="zh-CN"/>
              </w:rPr>
              <w:t>15700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13.94%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23</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唐山弘也特种水泥有限公司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2022年09月28日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1900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val="en-US" w:eastAsia="zh-CN"/>
              </w:rPr>
              <w:t>11895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10.56%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刘广艳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2022年10月16日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25</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唐山弘也特种水泥有限公司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2022年10月18日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val="en-US" w:eastAsia="zh-CN"/>
              </w:rPr>
              <w:t>11895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8.64%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26</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唐山弘也特种水泥有限公司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2022年10月19日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2500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1.82%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val="en-US" w:eastAsia="zh-CN"/>
              </w:rPr>
              <w:t>11895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8.64%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27</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孙明智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2022年10月19日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28</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唐珊珊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2022年10月20日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29</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郭印刚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2022年11月01日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sz w:val="18"/>
                <w:szCs w:val="18"/>
                <w:u w:val="none"/>
                <w:lang w:val="en-US" w:eastAsia="zh-CN"/>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30</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阮建颖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2022年11月03日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31</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郑斯杜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2022年11月03日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32</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唐山金马启新水泥有限公司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2022年11月03日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重大关联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33</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江志林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2022年11月15日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34</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郭云昀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2022年11月16日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35</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张艳慧</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2022年11月20日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36</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刘广江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2022年11月23日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37</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阮建超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2022年11月28日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38</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白雪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2022年11月30日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39</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郭静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2022年12月06日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40</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王彩云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2022年12月06日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41</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江静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2022年12月23日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42</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高华林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2022年12月23日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一般关联</w:t>
            </w:r>
          </w:p>
        </w:tc>
      </w:tr>
    </w:tbl>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textAlignment w:val="auto"/>
        <w:outlineLvl w:val="9"/>
        <w:rPr>
          <w:rFonts w:hint="eastAsia" w:ascii="仿宋_GB2312" w:hAnsi="宋体" w:eastAsia="仿宋_GB2312" w:cs="Times New Roman"/>
          <w:color w:val="FF0000"/>
          <w:sz w:val="30"/>
          <w:szCs w:val="30"/>
        </w:rPr>
      </w:pPr>
      <w:r>
        <w:rPr>
          <w:rFonts w:hint="eastAsia" w:ascii="仿宋_GB2312" w:hAnsi="宋体" w:eastAsia="仿宋_GB2312" w:cs="Times New Roman"/>
          <w:color w:val="FF0000"/>
          <w:sz w:val="30"/>
          <w:szCs w:val="30"/>
        </w:rPr>
        <w:t>（重大关联交易是指本行与一个关联方之间单笔交易金额占本行资本净额1%以上，或本行与一个关联方发生交易后本行与该关联方的交易余额占本行资本净额5%以上的交易。）</w:t>
      </w:r>
    </w:p>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textAlignment w:val="auto"/>
        <w:outlineLvl w:val="9"/>
        <w:rPr>
          <w:rFonts w:ascii="仿宋_GB2312" w:hAnsi="仿宋" w:eastAsia="仿宋_GB2312" w:cs="宋体"/>
          <w:sz w:val="30"/>
          <w:szCs w:val="30"/>
          <w:highlight w:val="none"/>
        </w:rPr>
      </w:pPr>
      <w:r>
        <w:rPr>
          <w:rFonts w:hint="eastAsia" w:ascii="仿宋_GB2312" w:hAnsi="仿宋" w:eastAsia="仿宋_GB2312" w:cs="宋体"/>
          <w:sz w:val="30"/>
          <w:szCs w:val="30"/>
          <w:highlight w:val="none"/>
        </w:rPr>
        <w:t>本行在处理关联交易业务时，严格按照有关法律、法规以及本行的贷款程序和规定，操作方式，定价按照不优于对非关联方同类交易的条件办理，符合诚信、公允原则。</w:t>
      </w:r>
    </w:p>
    <w:p/>
    <w:p>
      <w:pPr>
        <w:shd w:val="clear" w:color="auto" w:fill="FFFFFF"/>
        <w:adjustRightInd/>
        <w:snapToGrid/>
        <w:spacing w:before="100" w:beforeAutospacing="1" w:after="100" w:afterAutospacing="1" w:line="585" w:lineRule="atLeast"/>
        <w:ind w:firstLine="602" w:firstLineChars="200"/>
        <w:outlineLvl w:val="1"/>
        <w:rPr>
          <w:rFonts w:ascii="微软雅黑" w:hAnsi="微软雅黑" w:cs="宋体"/>
          <w:b/>
          <w:bCs/>
          <w:color w:val="444444"/>
          <w:sz w:val="36"/>
          <w:szCs w:val="36"/>
          <w:highlight w:val="none"/>
        </w:rPr>
      </w:pPr>
      <w:r>
        <w:rPr>
          <w:rFonts w:hint="eastAsia" w:ascii="黑体" w:hAnsi="黑体" w:eastAsia="黑体" w:cs="宋体"/>
          <w:b/>
          <w:bCs/>
          <w:color w:val="000000"/>
          <w:sz w:val="30"/>
          <w:szCs w:val="30"/>
          <w:highlight w:val="none"/>
        </w:rPr>
        <w:t>4.2</w:t>
      </w:r>
      <w:r>
        <w:rPr>
          <w:rFonts w:hint="eastAsia" w:ascii="宋体" w:hAnsi="宋体" w:eastAsia="宋体" w:cs="宋体"/>
          <w:b/>
          <w:bCs/>
          <w:color w:val="000000"/>
          <w:sz w:val="30"/>
          <w:szCs w:val="30"/>
          <w:highlight w:val="none"/>
        </w:rPr>
        <w:t> </w:t>
      </w:r>
      <w:r>
        <w:rPr>
          <w:rFonts w:hint="eastAsia" w:ascii="黑体" w:hAnsi="黑体" w:eastAsia="黑体" w:cs="黑体"/>
          <w:b/>
          <w:bCs/>
          <w:color w:val="000000"/>
          <w:sz w:val="30"/>
          <w:szCs w:val="30"/>
          <w:highlight w:val="none"/>
        </w:rPr>
        <w:t>公司治</w:t>
      </w:r>
      <w:r>
        <w:rPr>
          <w:rFonts w:hint="eastAsia" w:ascii="黑体" w:hAnsi="黑体" w:eastAsia="黑体" w:cs="宋体"/>
          <w:b/>
          <w:bCs/>
          <w:color w:val="000000"/>
          <w:sz w:val="30"/>
          <w:szCs w:val="30"/>
          <w:highlight w:val="none"/>
        </w:rPr>
        <w:t>理架构</w:t>
      </w:r>
    </w:p>
    <w:p>
      <w:pPr>
        <w:shd w:val="clear" w:color="auto" w:fill="FFFFFF"/>
        <w:adjustRightInd/>
        <w:snapToGrid/>
        <w:spacing w:before="100" w:beforeAutospacing="1" w:after="100" w:afterAutospacing="1" w:line="585" w:lineRule="atLeast"/>
        <w:ind w:firstLine="602" w:firstLineChars="200"/>
        <w:rPr>
          <w:rFonts w:ascii="楷体" w:hAnsi="楷体" w:eastAsia="楷体" w:cs="宋体"/>
          <w:b/>
          <w:color w:val="444444"/>
          <w:sz w:val="18"/>
          <w:szCs w:val="18"/>
          <w:highlight w:val="none"/>
        </w:rPr>
      </w:pPr>
      <w:r>
        <w:rPr>
          <w:rFonts w:hint="eastAsia" w:ascii="楷体" w:hAnsi="楷体" w:eastAsia="楷体" w:cs="宋体"/>
          <w:b/>
          <w:color w:val="000000"/>
          <w:sz w:val="30"/>
          <w:szCs w:val="30"/>
          <w:highlight w:val="none"/>
        </w:rPr>
        <w:t>4.2.1</w:t>
      </w:r>
      <w:r>
        <w:rPr>
          <w:rFonts w:hint="eastAsia" w:ascii="微软雅黑" w:hAnsi="微软雅黑" w:eastAsia="楷体" w:cs="宋体"/>
          <w:b/>
          <w:color w:val="444444"/>
          <w:sz w:val="18"/>
          <w:szCs w:val="18"/>
          <w:highlight w:val="none"/>
        </w:rPr>
        <w:t> </w:t>
      </w:r>
      <w:r>
        <w:rPr>
          <w:rFonts w:hint="eastAsia" w:ascii="楷体" w:hAnsi="楷体" w:eastAsia="楷体" w:cs="宋体"/>
          <w:b/>
          <w:color w:val="000000"/>
          <w:sz w:val="30"/>
          <w:szCs w:val="30"/>
          <w:highlight w:val="none"/>
        </w:rPr>
        <w:t>股东大会</w:t>
      </w:r>
    </w:p>
    <w:p>
      <w:pPr>
        <w:shd w:val="clear" w:color="auto" w:fill="FFFFFF"/>
        <w:adjustRightInd/>
        <w:snapToGrid/>
        <w:spacing w:after="0" w:line="600" w:lineRule="exact"/>
        <w:ind w:firstLine="601"/>
        <w:rPr>
          <w:rFonts w:ascii="微软雅黑" w:hAnsi="微软雅黑" w:cs="宋体"/>
          <w:color w:val="444444"/>
          <w:sz w:val="18"/>
          <w:szCs w:val="18"/>
          <w:highlight w:val="none"/>
        </w:rPr>
      </w:pPr>
      <w:r>
        <w:rPr>
          <w:rFonts w:hint="eastAsia" w:ascii="仿宋_GB2312" w:hAnsi="微软雅黑" w:eastAsia="仿宋_GB2312" w:cs="宋体"/>
          <w:color w:val="444444"/>
          <w:sz w:val="30"/>
          <w:szCs w:val="30"/>
          <w:highlight w:val="none"/>
        </w:rPr>
        <w:t>股东大会是本行的权力机构，依法对本行重大事项做出决策，包括审议批准利润分配方案、股金分红方案、年度财务预算方案和决算方案、以及修改公司章程等。本行严格按照公司章程和相关法律法规的规定召开股东大会。</w:t>
      </w:r>
    </w:p>
    <w:p>
      <w:pPr>
        <w:shd w:val="clear" w:color="auto" w:fill="FFFFFF"/>
        <w:adjustRightInd/>
        <w:snapToGrid/>
        <w:spacing w:before="100" w:beforeAutospacing="1" w:after="100" w:afterAutospacing="1" w:line="585" w:lineRule="atLeast"/>
        <w:ind w:firstLine="602" w:firstLineChars="200"/>
        <w:rPr>
          <w:rFonts w:ascii="楷体" w:hAnsi="楷体" w:eastAsia="楷体" w:cs="宋体"/>
          <w:b/>
          <w:color w:val="000000"/>
          <w:sz w:val="30"/>
          <w:szCs w:val="30"/>
          <w:highlight w:val="none"/>
        </w:rPr>
      </w:pPr>
      <w:bookmarkStart w:id="66" w:name="_Toc219553425"/>
      <w:bookmarkEnd w:id="66"/>
      <w:bookmarkStart w:id="67" w:name="_Toc219474582"/>
      <w:bookmarkEnd w:id="67"/>
      <w:bookmarkStart w:id="68" w:name="_Toc203486389"/>
      <w:bookmarkEnd w:id="68"/>
      <w:bookmarkStart w:id="69" w:name="_Toc219552585"/>
      <w:bookmarkEnd w:id="69"/>
      <w:r>
        <w:rPr>
          <w:rFonts w:hint="eastAsia" w:ascii="楷体" w:hAnsi="楷体" w:eastAsia="楷体" w:cs="宋体"/>
          <w:b/>
          <w:color w:val="000000"/>
          <w:sz w:val="30"/>
          <w:szCs w:val="30"/>
          <w:highlight w:val="none"/>
        </w:rPr>
        <w:t>4.2.2   董事会</w:t>
      </w:r>
    </w:p>
    <w:p>
      <w:pPr>
        <w:shd w:val="clear" w:color="auto" w:fill="FFFFFF"/>
        <w:adjustRightInd/>
        <w:snapToGrid/>
        <w:spacing w:after="0" w:line="560" w:lineRule="exact"/>
        <w:ind w:firstLine="601"/>
        <w:rPr>
          <w:rFonts w:hint="eastAsia" w:ascii="仿宋_GB2312" w:hAnsi="微软雅黑" w:eastAsia="仿宋_GB2312" w:cs="宋体"/>
          <w:b/>
          <w:color w:val="444444"/>
          <w:sz w:val="28"/>
          <w:szCs w:val="28"/>
          <w:highlight w:val="none"/>
        </w:rPr>
      </w:pPr>
      <w:r>
        <w:rPr>
          <w:rFonts w:hint="eastAsia" w:ascii="仿宋_GB2312" w:hAnsi="微软雅黑" w:eastAsia="仿宋_GB2312" w:cs="宋体"/>
          <w:color w:val="444444"/>
          <w:sz w:val="30"/>
          <w:szCs w:val="30"/>
          <w:highlight w:val="none"/>
        </w:rPr>
        <w:t>董事由股东大会选举或更换，并经中国银行业监督管理机构任职资格审查后行使职责。本行董事会共有</w:t>
      </w:r>
      <w:r>
        <w:rPr>
          <w:rFonts w:hint="eastAsia" w:ascii="仿宋_GB2312" w:hAnsi="微软雅黑" w:eastAsia="仿宋_GB2312" w:cs="宋体"/>
          <w:color w:val="444444"/>
          <w:sz w:val="30"/>
          <w:szCs w:val="30"/>
          <w:highlight w:val="none"/>
          <w:lang w:val="en-US" w:eastAsia="zh-CN"/>
        </w:rPr>
        <w:t>9</w:t>
      </w:r>
      <w:r>
        <w:rPr>
          <w:rFonts w:hint="eastAsia" w:ascii="仿宋_GB2312" w:hAnsi="微软雅黑" w:eastAsia="仿宋_GB2312" w:cs="宋体"/>
          <w:color w:val="444444"/>
          <w:sz w:val="30"/>
          <w:szCs w:val="30"/>
          <w:highlight w:val="none"/>
        </w:rPr>
        <w:t>名董事，任期3年，可以连选连任。本行董事会对股东大会负责，负责执行股东大会的决议，并经股东大会的授权，按照法律、法规、和公司章程的相关规定行使职权。所有董事有责任参与本行重大事项的决策，保护本行及股东权益。</w:t>
      </w:r>
      <w:r>
        <w:rPr>
          <w:rFonts w:hint="eastAsia" w:ascii="仿宋_GB2312" w:hAnsi="微软雅黑" w:eastAsia="仿宋_GB2312" w:cs="宋体"/>
          <w:color w:val="444444"/>
          <w:sz w:val="28"/>
          <w:szCs w:val="28"/>
          <w:highlight w:val="none"/>
        </w:rPr>
        <w:t> </w:t>
      </w:r>
      <w:r>
        <w:rPr>
          <w:rFonts w:hint="eastAsia" w:ascii="仿宋_GB2312" w:hAnsi="微软雅黑" w:eastAsia="仿宋_GB2312" w:cs="宋体"/>
          <w:b/>
          <w:color w:val="444444"/>
          <w:sz w:val="28"/>
          <w:szCs w:val="28"/>
          <w:highlight w:val="none"/>
        </w:rPr>
        <w:t> </w:t>
      </w:r>
    </w:p>
    <w:p>
      <w:pPr>
        <w:shd w:val="clear" w:color="auto" w:fill="FFFFFF"/>
        <w:adjustRightInd/>
        <w:snapToGrid/>
        <w:spacing w:after="0" w:line="560" w:lineRule="exact"/>
        <w:ind w:firstLine="601"/>
        <w:rPr>
          <w:rFonts w:hint="eastAsia" w:ascii="仿宋_GB2312" w:hAnsi="微软雅黑" w:eastAsia="仿宋_GB2312" w:cs="宋体"/>
          <w:b/>
          <w:color w:val="444444"/>
          <w:sz w:val="28"/>
          <w:szCs w:val="28"/>
          <w:highlight w:val="none"/>
        </w:rPr>
      </w:pPr>
    </w:p>
    <w:p>
      <w:pPr>
        <w:shd w:val="clear" w:color="auto" w:fill="FFFFFF"/>
        <w:adjustRightInd/>
        <w:snapToGrid/>
        <w:spacing w:after="0" w:line="560" w:lineRule="exact"/>
        <w:ind w:firstLine="601"/>
        <w:rPr>
          <w:rFonts w:hint="eastAsia" w:ascii="仿宋_GB2312" w:hAnsi="微软雅黑" w:eastAsia="仿宋_GB2312" w:cs="宋体"/>
          <w:b/>
          <w:color w:val="444444"/>
          <w:sz w:val="28"/>
          <w:szCs w:val="28"/>
          <w:highlight w:val="none"/>
        </w:rPr>
      </w:pPr>
    </w:p>
    <w:p>
      <w:pPr>
        <w:shd w:val="clear" w:color="auto" w:fill="FFFFFF"/>
        <w:adjustRightInd/>
        <w:snapToGrid/>
        <w:spacing w:after="0" w:line="560" w:lineRule="exact"/>
        <w:ind w:firstLine="601"/>
        <w:rPr>
          <w:rFonts w:hint="eastAsia" w:ascii="仿宋_GB2312" w:hAnsi="微软雅黑" w:eastAsia="仿宋_GB2312" w:cs="宋体"/>
          <w:b/>
          <w:color w:val="444444"/>
          <w:sz w:val="28"/>
          <w:szCs w:val="28"/>
          <w:highlight w:val="none"/>
        </w:rPr>
      </w:pPr>
    </w:p>
    <w:p>
      <w:pPr>
        <w:shd w:val="clear" w:color="auto" w:fill="FFFFFF"/>
        <w:adjustRightInd/>
        <w:snapToGrid/>
        <w:spacing w:after="0" w:line="560" w:lineRule="exact"/>
        <w:ind w:firstLine="601"/>
        <w:rPr>
          <w:rFonts w:ascii="仿宋_GB2312" w:hAnsi="微软雅黑" w:eastAsia="仿宋_GB2312" w:cs="宋体"/>
          <w:color w:val="444444"/>
          <w:sz w:val="30"/>
          <w:szCs w:val="30"/>
          <w:highlight w:val="none"/>
        </w:rPr>
      </w:pPr>
      <w:r>
        <w:rPr>
          <w:rFonts w:hint="eastAsia" w:ascii="仿宋_GB2312" w:hAnsi="微软雅黑" w:eastAsia="仿宋_GB2312" w:cs="宋体"/>
          <w:b/>
          <w:color w:val="444444"/>
          <w:sz w:val="28"/>
          <w:szCs w:val="28"/>
          <w:highlight w:val="none"/>
        </w:rPr>
        <w:t>表4－5      董事会成员情况表</w:t>
      </w:r>
    </w:p>
    <w:tbl>
      <w:tblPr>
        <w:tblStyle w:val="5"/>
        <w:tblpPr w:leftFromText="180" w:rightFromText="180" w:vertAnchor="text" w:horzAnchor="page" w:tblpX="1779" w:tblpY="852"/>
        <w:tblOverlap w:val="never"/>
        <w:tblW w:w="7953"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2"/>
        <w:gridCol w:w="993"/>
        <w:gridCol w:w="366"/>
        <w:gridCol w:w="4399"/>
        <w:gridCol w:w="16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single" w:color="auto" w:sz="4" w:space="0"/>
              <w:left w:val="single"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序号</w:t>
            </w:r>
          </w:p>
        </w:tc>
        <w:tc>
          <w:tcPr>
            <w:tcW w:w="993" w:type="dxa"/>
            <w:tcBorders>
              <w:top w:val="single" w:color="auto" w:sz="4"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姓名</w:t>
            </w:r>
          </w:p>
        </w:tc>
        <w:tc>
          <w:tcPr>
            <w:tcW w:w="366" w:type="dxa"/>
            <w:tcBorders>
              <w:top w:val="single" w:color="auto" w:sz="4"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性别</w:t>
            </w:r>
          </w:p>
        </w:tc>
        <w:tc>
          <w:tcPr>
            <w:tcW w:w="4399" w:type="dxa"/>
            <w:tcBorders>
              <w:top w:val="single" w:color="auto" w:sz="4"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现工作单位及职务</w:t>
            </w:r>
          </w:p>
        </w:tc>
        <w:tc>
          <w:tcPr>
            <w:tcW w:w="1613" w:type="dxa"/>
            <w:tcBorders>
              <w:top w:val="single" w:color="auto" w:sz="4" w:space="0"/>
              <w:left w:val="outset" w:color="auto" w:sz="6" w:space="0"/>
              <w:bottom w:val="outset" w:color="auto" w:sz="6" w:space="0"/>
              <w:right w:val="single" w:color="auto" w:sz="4"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任职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1</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李志强</w:t>
            </w:r>
          </w:p>
        </w:tc>
        <w:tc>
          <w:tcPr>
            <w:tcW w:w="36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39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玉田农商行</w:t>
            </w:r>
          </w:p>
        </w:tc>
        <w:tc>
          <w:tcPr>
            <w:tcW w:w="1613"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董事长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2</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hint="eastAsia" w:ascii="仿宋_GB2312" w:hAnsi="仿宋" w:eastAsia="仿宋_GB2312" w:cs="宋体"/>
                <w:sz w:val="28"/>
                <w:szCs w:val="28"/>
                <w:highlight w:val="none"/>
                <w:lang w:eastAsia="zh-CN"/>
              </w:rPr>
            </w:pPr>
            <w:r>
              <w:rPr>
                <w:rFonts w:hint="eastAsia" w:ascii="仿宋" w:hAnsi="仿宋" w:eastAsia="仿宋" w:cs="仿宋"/>
                <w:i w:val="0"/>
                <w:iCs w:val="0"/>
                <w:color w:val="000000"/>
                <w:kern w:val="0"/>
                <w:sz w:val="28"/>
                <w:szCs w:val="28"/>
                <w:u w:val="none"/>
                <w:lang w:val="en-US" w:eastAsia="zh-CN" w:bidi="ar"/>
              </w:rPr>
              <w:t>窦永天</w:t>
            </w:r>
          </w:p>
        </w:tc>
        <w:tc>
          <w:tcPr>
            <w:tcW w:w="36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39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玉田农商行</w:t>
            </w:r>
          </w:p>
        </w:tc>
        <w:tc>
          <w:tcPr>
            <w:tcW w:w="1613"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董事、行长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3</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杨继东</w:t>
            </w:r>
          </w:p>
        </w:tc>
        <w:tc>
          <w:tcPr>
            <w:tcW w:w="36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39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玉田农商行</w:t>
            </w:r>
          </w:p>
        </w:tc>
        <w:tc>
          <w:tcPr>
            <w:tcW w:w="1613"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董事、董秘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4</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朱军</w:t>
            </w:r>
          </w:p>
        </w:tc>
        <w:tc>
          <w:tcPr>
            <w:tcW w:w="36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39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唐山汇金贸易</w:t>
            </w:r>
          </w:p>
        </w:tc>
        <w:tc>
          <w:tcPr>
            <w:tcW w:w="1613"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董事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5</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赵苹</w:t>
            </w:r>
          </w:p>
        </w:tc>
        <w:tc>
          <w:tcPr>
            <w:tcW w:w="36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4"/>
                <w:szCs w:val="24"/>
                <w:highlight w:val="none"/>
                <w:lang w:eastAsia="zh-CN"/>
              </w:rPr>
            </w:pPr>
            <w:r>
              <w:rPr>
                <w:rFonts w:hint="eastAsia" w:ascii="仿宋_GB2312" w:hAnsi="仿宋" w:eastAsia="仿宋_GB2312" w:cs="宋体"/>
                <w:sz w:val="24"/>
                <w:szCs w:val="24"/>
                <w:highlight w:val="none"/>
                <w:lang w:eastAsia="zh-CN"/>
              </w:rPr>
              <w:t>女</w:t>
            </w:r>
          </w:p>
        </w:tc>
        <w:tc>
          <w:tcPr>
            <w:tcW w:w="439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凤凰酿酒有限公司</w:t>
            </w:r>
          </w:p>
        </w:tc>
        <w:tc>
          <w:tcPr>
            <w:tcW w:w="1613"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董事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6</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张维田</w:t>
            </w:r>
          </w:p>
        </w:tc>
        <w:tc>
          <w:tcPr>
            <w:tcW w:w="36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39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玉田顺发实业</w:t>
            </w:r>
          </w:p>
        </w:tc>
        <w:tc>
          <w:tcPr>
            <w:tcW w:w="1613"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董事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8"/>
                <w:szCs w:val="28"/>
                <w:highlight w:val="none"/>
                <w:lang w:eastAsia="zh-CN"/>
              </w:rPr>
            </w:pPr>
            <w:r>
              <w:rPr>
                <w:rFonts w:hint="eastAsia" w:ascii="仿宋_GB2312" w:hAnsi="仿宋" w:eastAsia="仿宋_GB2312" w:cs="宋体"/>
                <w:sz w:val="28"/>
                <w:szCs w:val="28"/>
                <w:highlight w:val="none"/>
                <w:lang w:val="en-US" w:eastAsia="zh-CN"/>
              </w:rPr>
              <w:t>7</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许少合</w:t>
            </w:r>
          </w:p>
        </w:tc>
        <w:tc>
          <w:tcPr>
            <w:tcW w:w="36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4"/>
                <w:szCs w:val="24"/>
                <w:highlight w:val="none"/>
                <w:lang w:eastAsia="zh-CN"/>
              </w:rPr>
            </w:pPr>
            <w:r>
              <w:rPr>
                <w:rFonts w:hint="eastAsia" w:ascii="仿宋_GB2312" w:hAnsi="仿宋" w:eastAsia="仿宋_GB2312" w:cs="宋体"/>
                <w:sz w:val="24"/>
                <w:szCs w:val="24"/>
                <w:highlight w:val="none"/>
                <w:lang w:eastAsia="zh-CN"/>
              </w:rPr>
              <w:t>男</w:t>
            </w:r>
          </w:p>
        </w:tc>
        <w:tc>
          <w:tcPr>
            <w:tcW w:w="439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唐山忠宏会计师事务所</w:t>
            </w:r>
          </w:p>
        </w:tc>
        <w:tc>
          <w:tcPr>
            <w:tcW w:w="1613"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独立董事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8"/>
                <w:szCs w:val="28"/>
                <w:highlight w:val="none"/>
                <w:lang w:eastAsia="zh-CN"/>
              </w:rPr>
            </w:pPr>
            <w:r>
              <w:rPr>
                <w:rFonts w:hint="eastAsia" w:ascii="仿宋_GB2312" w:hAnsi="仿宋" w:eastAsia="仿宋_GB2312" w:cs="宋体"/>
                <w:sz w:val="28"/>
                <w:szCs w:val="28"/>
                <w:highlight w:val="none"/>
                <w:lang w:val="en-US" w:eastAsia="zh-CN"/>
              </w:rPr>
              <w:t>8</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马健辉</w:t>
            </w:r>
          </w:p>
        </w:tc>
        <w:tc>
          <w:tcPr>
            <w:tcW w:w="366"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4"/>
                <w:szCs w:val="24"/>
                <w:highlight w:val="none"/>
                <w:lang w:eastAsia="zh-CN"/>
              </w:rPr>
            </w:pPr>
            <w:r>
              <w:rPr>
                <w:rFonts w:hint="eastAsia" w:ascii="仿宋_GB2312" w:hAnsi="仿宋" w:eastAsia="仿宋_GB2312" w:cs="宋体"/>
                <w:sz w:val="24"/>
                <w:szCs w:val="24"/>
                <w:highlight w:val="none"/>
                <w:lang w:eastAsia="zh-CN"/>
              </w:rPr>
              <w:t>男</w:t>
            </w:r>
          </w:p>
        </w:tc>
        <w:tc>
          <w:tcPr>
            <w:tcW w:w="439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河北马健辉律师事务所</w:t>
            </w:r>
          </w:p>
        </w:tc>
        <w:tc>
          <w:tcPr>
            <w:tcW w:w="1613"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独立董事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single" w:color="auto" w:sz="4"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8"/>
                <w:szCs w:val="28"/>
                <w:highlight w:val="none"/>
                <w:lang w:eastAsia="zh-CN"/>
              </w:rPr>
            </w:pPr>
            <w:r>
              <w:rPr>
                <w:rFonts w:hint="eastAsia" w:ascii="仿宋_GB2312" w:hAnsi="仿宋" w:eastAsia="仿宋_GB2312" w:cs="宋体"/>
                <w:sz w:val="28"/>
                <w:szCs w:val="28"/>
                <w:highlight w:val="none"/>
                <w:lang w:val="en-US" w:eastAsia="zh-CN"/>
              </w:rPr>
              <w:t>9</w:t>
            </w:r>
          </w:p>
        </w:tc>
        <w:tc>
          <w:tcPr>
            <w:tcW w:w="993" w:type="dxa"/>
            <w:tcBorders>
              <w:top w:val="outset" w:color="auto" w:sz="6" w:space="0"/>
              <w:left w:val="outset" w:color="auto" w:sz="6" w:space="0"/>
              <w:bottom w:val="single" w:color="auto" w:sz="4"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王东甫</w:t>
            </w:r>
          </w:p>
        </w:tc>
        <w:tc>
          <w:tcPr>
            <w:tcW w:w="366" w:type="dxa"/>
            <w:tcBorders>
              <w:top w:val="outset" w:color="auto" w:sz="6" w:space="0"/>
              <w:left w:val="outset" w:color="auto" w:sz="6" w:space="0"/>
              <w:bottom w:val="single" w:color="auto" w:sz="4"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399" w:type="dxa"/>
            <w:tcBorders>
              <w:top w:val="outset" w:color="auto" w:sz="6" w:space="0"/>
              <w:left w:val="outset" w:color="auto" w:sz="6" w:space="0"/>
              <w:bottom w:val="single" w:color="auto" w:sz="4"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自由职业</w:t>
            </w:r>
          </w:p>
        </w:tc>
        <w:tc>
          <w:tcPr>
            <w:tcW w:w="1613" w:type="dxa"/>
            <w:tcBorders>
              <w:top w:val="outset" w:color="auto" w:sz="6" w:space="0"/>
              <w:left w:val="outset"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独立董事</w:t>
            </w:r>
          </w:p>
        </w:tc>
      </w:tr>
    </w:tbl>
    <w:p>
      <w:pPr>
        <w:shd w:val="clear" w:color="auto" w:fill="FFFFFF"/>
        <w:adjustRightInd/>
        <w:snapToGrid/>
        <w:spacing w:before="100" w:beforeAutospacing="1" w:after="100" w:afterAutospacing="1" w:line="585" w:lineRule="atLeast"/>
        <w:ind w:firstLine="602" w:firstLineChars="200"/>
        <w:rPr>
          <w:rFonts w:hint="eastAsia" w:ascii="楷体" w:hAnsi="楷体" w:eastAsia="楷体" w:cs="宋体"/>
          <w:b/>
          <w:color w:val="000000"/>
          <w:sz w:val="30"/>
          <w:szCs w:val="30"/>
          <w:highlight w:val="none"/>
        </w:rPr>
      </w:pPr>
      <w:bookmarkStart w:id="70" w:name="_Toc203486390"/>
      <w:bookmarkEnd w:id="70"/>
      <w:bookmarkStart w:id="71" w:name="_Toc219553426"/>
      <w:bookmarkEnd w:id="71"/>
      <w:bookmarkStart w:id="72" w:name="_Toc219552586"/>
      <w:bookmarkEnd w:id="72"/>
      <w:bookmarkStart w:id="73" w:name="_Toc219474583"/>
      <w:bookmarkEnd w:id="73"/>
    </w:p>
    <w:p>
      <w:pPr>
        <w:shd w:val="clear" w:color="auto" w:fill="FFFFFF"/>
        <w:adjustRightInd/>
        <w:snapToGrid/>
        <w:spacing w:before="100" w:beforeAutospacing="1" w:after="100" w:afterAutospacing="1" w:line="585" w:lineRule="atLeast"/>
        <w:ind w:firstLine="602" w:firstLineChars="200"/>
        <w:rPr>
          <w:rFonts w:ascii="楷体" w:hAnsi="楷体" w:eastAsia="楷体" w:cs="宋体"/>
          <w:b/>
          <w:color w:val="000000"/>
          <w:sz w:val="30"/>
          <w:szCs w:val="30"/>
          <w:highlight w:val="none"/>
        </w:rPr>
      </w:pPr>
      <w:r>
        <w:rPr>
          <w:rFonts w:hint="eastAsia" w:ascii="楷体" w:hAnsi="楷体" w:eastAsia="楷体" w:cs="宋体"/>
          <w:b/>
          <w:color w:val="000000"/>
          <w:sz w:val="30"/>
          <w:szCs w:val="30"/>
          <w:highlight w:val="none"/>
        </w:rPr>
        <w:t>4.2.3 监事会</w:t>
      </w:r>
    </w:p>
    <w:p>
      <w:pPr>
        <w:shd w:val="clear" w:color="auto" w:fill="FFFFFF"/>
        <w:adjustRightInd/>
        <w:snapToGrid/>
        <w:spacing w:after="0" w:line="560" w:lineRule="exact"/>
        <w:ind w:firstLine="601"/>
        <w:rPr>
          <w:rFonts w:hint="eastAsia" w:ascii="仿宋_GB2312" w:hAnsi="微软雅黑" w:eastAsia="仿宋_GB2312" w:cs="宋体"/>
          <w:color w:val="444444"/>
          <w:sz w:val="30"/>
          <w:szCs w:val="30"/>
          <w:highlight w:val="none"/>
        </w:rPr>
      </w:pPr>
      <w:r>
        <w:rPr>
          <w:rFonts w:hint="eastAsia" w:ascii="仿宋_GB2312" w:hAnsi="微软雅黑" w:eastAsia="仿宋_GB2312" w:cs="宋体"/>
          <w:color w:val="444444"/>
          <w:sz w:val="30"/>
          <w:szCs w:val="30"/>
          <w:highlight w:val="none"/>
        </w:rPr>
        <w:t>本行监事会由9名监事组成，其中外部监事3名、股东监事3名、职工监事3名。本行监事会向股东大会负责，监督本行业务经营及重大决策，并对董事会及其成员、高级管理人员进行监督。外部监事由股东大会选举产生，职工监事由职工代表大会选举产生，监事长由监事会选举产生。</w:t>
      </w:r>
    </w:p>
    <w:p>
      <w:pPr>
        <w:shd w:val="clear" w:color="auto" w:fill="FFFFFF"/>
        <w:adjustRightInd/>
        <w:snapToGrid/>
        <w:spacing w:after="0" w:line="560" w:lineRule="exact"/>
        <w:ind w:firstLine="601"/>
        <w:rPr>
          <w:rFonts w:hint="eastAsia" w:ascii="仿宋_GB2312" w:hAnsi="微软雅黑" w:eastAsia="仿宋_GB2312" w:cs="宋体"/>
          <w:color w:val="444444"/>
          <w:sz w:val="30"/>
          <w:szCs w:val="30"/>
          <w:highlight w:val="none"/>
        </w:rPr>
      </w:pPr>
    </w:p>
    <w:p>
      <w:pPr>
        <w:shd w:val="clear" w:color="auto" w:fill="FFFFFF"/>
        <w:adjustRightInd/>
        <w:snapToGrid/>
        <w:spacing w:after="0" w:line="560" w:lineRule="exact"/>
        <w:ind w:firstLine="601"/>
        <w:rPr>
          <w:rFonts w:hint="eastAsia" w:ascii="仿宋_GB2312" w:hAnsi="微软雅黑" w:eastAsia="仿宋_GB2312" w:cs="宋体"/>
          <w:color w:val="444444"/>
          <w:sz w:val="30"/>
          <w:szCs w:val="30"/>
          <w:highlight w:val="none"/>
        </w:rPr>
      </w:pPr>
    </w:p>
    <w:p>
      <w:pPr>
        <w:shd w:val="clear" w:color="auto" w:fill="FFFFFF"/>
        <w:adjustRightInd/>
        <w:snapToGrid/>
        <w:spacing w:after="0" w:line="560" w:lineRule="exact"/>
        <w:ind w:firstLine="601"/>
        <w:rPr>
          <w:rFonts w:hint="eastAsia" w:ascii="仿宋_GB2312" w:hAnsi="微软雅黑" w:eastAsia="仿宋_GB2312" w:cs="宋体"/>
          <w:color w:val="444444"/>
          <w:sz w:val="30"/>
          <w:szCs w:val="30"/>
          <w:highlight w:val="none"/>
        </w:rPr>
      </w:pPr>
    </w:p>
    <w:tbl>
      <w:tblPr>
        <w:tblStyle w:val="5"/>
        <w:tblpPr w:leftFromText="180" w:rightFromText="180" w:vertAnchor="text" w:horzAnchor="page" w:tblpX="1790" w:tblpY="851"/>
        <w:tblOverlap w:val="never"/>
        <w:tblW w:w="781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2"/>
        <w:gridCol w:w="993"/>
        <w:gridCol w:w="709"/>
        <w:gridCol w:w="4253"/>
        <w:gridCol w:w="12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single" w:color="auto" w:sz="4" w:space="0"/>
              <w:left w:val="single"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序号</w:t>
            </w:r>
          </w:p>
        </w:tc>
        <w:tc>
          <w:tcPr>
            <w:tcW w:w="993" w:type="dxa"/>
            <w:tcBorders>
              <w:top w:val="single" w:color="auto" w:sz="4"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姓名</w:t>
            </w:r>
          </w:p>
        </w:tc>
        <w:tc>
          <w:tcPr>
            <w:tcW w:w="709" w:type="dxa"/>
            <w:tcBorders>
              <w:top w:val="single" w:color="auto" w:sz="4"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性别</w:t>
            </w:r>
          </w:p>
        </w:tc>
        <w:tc>
          <w:tcPr>
            <w:tcW w:w="4253" w:type="dxa"/>
            <w:tcBorders>
              <w:top w:val="single" w:color="auto" w:sz="4"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现工作单位及职务</w:t>
            </w:r>
          </w:p>
        </w:tc>
        <w:tc>
          <w:tcPr>
            <w:tcW w:w="1275" w:type="dxa"/>
            <w:tcBorders>
              <w:top w:val="single" w:color="auto" w:sz="4" w:space="0"/>
              <w:left w:val="outset" w:color="auto" w:sz="6" w:space="0"/>
              <w:bottom w:val="outset" w:color="auto" w:sz="6" w:space="0"/>
              <w:right w:val="single" w:color="auto" w:sz="4"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任职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1</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孟凡明</w:t>
            </w:r>
          </w:p>
        </w:tc>
        <w:tc>
          <w:tcPr>
            <w:tcW w:w="70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25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玉田农商行</w:t>
            </w:r>
          </w:p>
        </w:tc>
        <w:tc>
          <w:tcPr>
            <w:tcW w:w="1275"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监事长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2</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张亚民</w:t>
            </w:r>
          </w:p>
        </w:tc>
        <w:tc>
          <w:tcPr>
            <w:tcW w:w="70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4"/>
                <w:szCs w:val="24"/>
                <w:highlight w:val="none"/>
                <w:lang w:eastAsia="zh-CN"/>
              </w:rPr>
            </w:pPr>
            <w:r>
              <w:rPr>
                <w:rFonts w:hint="eastAsia" w:ascii="仿宋_GB2312" w:hAnsi="仿宋" w:eastAsia="仿宋_GB2312" w:cs="宋体"/>
                <w:sz w:val="24"/>
                <w:szCs w:val="24"/>
                <w:highlight w:val="none"/>
                <w:lang w:eastAsia="zh-CN"/>
              </w:rPr>
              <w:t>女</w:t>
            </w:r>
          </w:p>
        </w:tc>
        <w:tc>
          <w:tcPr>
            <w:tcW w:w="425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玉田农商行</w:t>
            </w:r>
          </w:p>
        </w:tc>
        <w:tc>
          <w:tcPr>
            <w:tcW w:w="1275"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监事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3</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王乃华</w:t>
            </w:r>
          </w:p>
        </w:tc>
        <w:tc>
          <w:tcPr>
            <w:tcW w:w="70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4"/>
                <w:szCs w:val="24"/>
                <w:highlight w:val="none"/>
                <w:lang w:eastAsia="zh-CN"/>
              </w:rPr>
            </w:pPr>
            <w:r>
              <w:rPr>
                <w:rFonts w:hint="eastAsia" w:ascii="仿宋_GB2312" w:hAnsi="仿宋" w:eastAsia="仿宋_GB2312" w:cs="宋体"/>
                <w:sz w:val="24"/>
                <w:szCs w:val="24"/>
                <w:highlight w:val="none"/>
                <w:lang w:eastAsia="zh-CN"/>
              </w:rPr>
              <w:t>男</w:t>
            </w:r>
          </w:p>
        </w:tc>
        <w:tc>
          <w:tcPr>
            <w:tcW w:w="425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玉田农商行</w:t>
            </w:r>
          </w:p>
        </w:tc>
        <w:tc>
          <w:tcPr>
            <w:tcW w:w="1275"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监事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4</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赵凤兴</w:t>
            </w:r>
          </w:p>
        </w:tc>
        <w:tc>
          <w:tcPr>
            <w:tcW w:w="70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25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唐山泰丰实业</w:t>
            </w:r>
          </w:p>
        </w:tc>
        <w:tc>
          <w:tcPr>
            <w:tcW w:w="1275"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股东监事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5</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杜连忠</w:t>
            </w:r>
          </w:p>
        </w:tc>
        <w:tc>
          <w:tcPr>
            <w:tcW w:w="70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25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河北绿泽环保科技</w:t>
            </w:r>
          </w:p>
        </w:tc>
        <w:tc>
          <w:tcPr>
            <w:tcW w:w="1275"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股东监事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6</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薛宝松</w:t>
            </w:r>
          </w:p>
        </w:tc>
        <w:tc>
          <w:tcPr>
            <w:tcW w:w="70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25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唐山前进塑料</w:t>
            </w:r>
          </w:p>
        </w:tc>
        <w:tc>
          <w:tcPr>
            <w:tcW w:w="1275"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股东董事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7</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冯书合</w:t>
            </w:r>
          </w:p>
        </w:tc>
        <w:tc>
          <w:tcPr>
            <w:tcW w:w="70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25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河北建支铸造</w:t>
            </w:r>
          </w:p>
        </w:tc>
        <w:tc>
          <w:tcPr>
            <w:tcW w:w="1275"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外部监事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8</w:t>
            </w:r>
          </w:p>
        </w:tc>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李谦</w:t>
            </w:r>
          </w:p>
        </w:tc>
        <w:tc>
          <w:tcPr>
            <w:tcW w:w="70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425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18"/>
                <w:szCs w:val="18"/>
                <w:highlight w:val="none"/>
              </w:rPr>
            </w:pPr>
            <w:r>
              <w:rPr>
                <w:rFonts w:hint="eastAsia" w:ascii="仿宋" w:hAnsi="仿宋" w:eastAsia="仿宋" w:cs="仿宋"/>
                <w:i w:val="0"/>
                <w:iCs w:val="0"/>
                <w:color w:val="000000"/>
                <w:kern w:val="0"/>
                <w:sz w:val="28"/>
                <w:szCs w:val="28"/>
                <w:u w:val="none"/>
                <w:lang w:val="en-US" w:eastAsia="zh-CN" w:bidi="ar"/>
              </w:rPr>
              <w:t>唐山东亚重工装备</w:t>
            </w:r>
          </w:p>
        </w:tc>
        <w:tc>
          <w:tcPr>
            <w:tcW w:w="1275" w:type="dxa"/>
            <w:tcBorders>
              <w:top w:val="outset" w:color="auto" w:sz="6" w:space="0"/>
              <w:left w:val="outset" w:color="auto" w:sz="6" w:space="0"/>
              <w:bottom w:val="outset" w:color="auto" w:sz="6"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外部监事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582" w:type="dxa"/>
            <w:tcBorders>
              <w:top w:val="outset" w:color="auto" w:sz="6" w:space="0"/>
              <w:left w:val="single" w:color="auto" w:sz="4" w:space="0"/>
              <w:bottom w:val="single" w:color="auto" w:sz="4"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9</w:t>
            </w:r>
          </w:p>
        </w:tc>
        <w:tc>
          <w:tcPr>
            <w:tcW w:w="993" w:type="dxa"/>
            <w:tcBorders>
              <w:top w:val="outset" w:color="auto" w:sz="6" w:space="0"/>
              <w:left w:val="outset" w:color="auto" w:sz="6" w:space="0"/>
              <w:bottom w:val="single" w:color="auto" w:sz="4"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8"/>
                <w:szCs w:val="28"/>
                <w:highlight w:val="none"/>
              </w:rPr>
            </w:pPr>
            <w:r>
              <w:rPr>
                <w:rFonts w:hint="eastAsia" w:ascii="仿宋" w:hAnsi="仿宋" w:eastAsia="仿宋" w:cs="仿宋"/>
                <w:i w:val="0"/>
                <w:iCs w:val="0"/>
                <w:color w:val="000000"/>
                <w:kern w:val="0"/>
                <w:sz w:val="28"/>
                <w:szCs w:val="28"/>
                <w:u w:val="none"/>
                <w:lang w:val="en-US" w:eastAsia="zh-CN" w:bidi="ar"/>
              </w:rPr>
              <w:t>赵晓颖</w:t>
            </w:r>
          </w:p>
        </w:tc>
        <w:tc>
          <w:tcPr>
            <w:tcW w:w="709" w:type="dxa"/>
            <w:tcBorders>
              <w:top w:val="outset" w:color="auto" w:sz="6" w:space="0"/>
              <w:left w:val="outset" w:color="auto" w:sz="6" w:space="0"/>
              <w:bottom w:val="single" w:color="auto" w:sz="4"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4"/>
                <w:szCs w:val="24"/>
                <w:highlight w:val="none"/>
                <w:lang w:eastAsia="zh-CN"/>
              </w:rPr>
            </w:pPr>
            <w:r>
              <w:rPr>
                <w:rFonts w:hint="eastAsia" w:ascii="仿宋_GB2312" w:hAnsi="仿宋" w:eastAsia="仿宋_GB2312" w:cs="宋体"/>
                <w:sz w:val="24"/>
                <w:szCs w:val="24"/>
                <w:highlight w:val="none"/>
                <w:lang w:eastAsia="zh-CN"/>
              </w:rPr>
              <w:t>女</w:t>
            </w:r>
          </w:p>
        </w:tc>
        <w:tc>
          <w:tcPr>
            <w:tcW w:w="4253" w:type="dxa"/>
            <w:tcBorders>
              <w:top w:val="outset" w:color="auto" w:sz="6" w:space="0"/>
              <w:left w:val="outset" w:color="auto" w:sz="6" w:space="0"/>
              <w:bottom w:val="single" w:color="auto" w:sz="4" w:space="0"/>
              <w:right w:val="outset" w:color="auto" w:sz="6"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中国再生资源</w:t>
            </w:r>
          </w:p>
        </w:tc>
        <w:tc>
          <w:tcPr>
            <w:tcW w:w="1275" w:type="dxa"/>
            <w:tcBorders>
              <w:top w:val="outset" w:color="auto" w:sz="6" w:space="0"/>
              <w:left w:val="outset" w:color="auto" w:sz="6"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宋体"/>
                <w:sz w:val="24"/>
                <w:szCs w:val="24"/>
                <w:highlight w:val="none"/>
              </w:rPr>
            </w:pPr>
            <w:r>
              <w:rPr>
                <w:rFonts w:hint="eastAsia" w:ascii="仿宋" w:hAnsi="仿宋" w:eastAsia="仿宋" w:cs="仿宋"/>
                <w:i w:val="0"/>
                <w:iCs w:val="0"/>
                <w:color w:val="000000"/>
                <w:kern w:val="0"/>
                <w:sz w:val="28"/>
                <w:szCs w:val="28"/>
                <w:u w:val="none"/>
                <w:lang w:val="en-US" w:eastAsia="zh-CN" w:bidi="ar"/>
              </w:rPr>
              <w:t>外部监事</w:t>
            </w:r>
          </w:p>
        </w:tc>
      </w:tr>
    </w:tbl>
    <w:p>
      <w:pPr>
        <w:shd w:val="clear" w:color="auto" w:fill="FFFFFF"/>
        <w:adjustRightInd/>
        <w:snapToGrid/>
        <w:spacing w:before="100" w:beforeAutospacing="1" w:after="100" w:afterAutospacing="1" w:line="600" w:lineRule="atLeast"/>
        <w:ind w:firstLine="600"/>
        <w:rPr>
          <w:rFonts w:ascii="仿宋_GB2312" w:hAnsi="微软雅黑" w:eastAsia="仿宋_GB2312" w:cs="宋体"/>
          <w:color w:val="444444"/>
          <w:sz w:val="28"/>
          <w:szCs w:val="28"/>
          <w:highlight w:val="none"/>
        </w:rPr>
      </w:pPr>
      <w:r>
        <w:rPr>
          <w:rFonts w:hint="eastAsia" w:ascii="仿宋_GB2312" w:hAnsi="微软雅黑" w:eastAsia="仿宋_GB2312" w:cs="宋体"/>
          <w:b/>
          <w:color w:val="444444"/>
          <w:sz w:val="28"/>
          <w:szCs w:val="28"/>
          <w:highlight w:val="none"/>
        </w:rPr>
        <w:t>表4－6    监事会成员情况表</w:t>
      </w:r>
    </w:p>
    <w:p>
      <w:pPr>
        <w:shd w:val="clear" w:color="auto" w:fill="FFFFFF"/>
        <w:adjustRightInd/>
        <w:snapToGrid/>
        <w:spacing w:before="100" w:beforeAutospacing="1" w:after="100" w:afterAutospacing="1" w:line="585" w:lineRule="atLeast"/>
        <w:ind w:firstLine="602" w:firstLineChars="200"/>
        <w:rPr>
          <w:rFonts w:ascii="楷体" w:hAnsi="楷体" w:eastAsia="楷体" w:cs="宋体"/>
          <w:b/>
          <w:color w:val="000000"/>
          <w:sz w:val="30"/>
          <w:szCs w:val="30"/>
          <w:highlight w:val="none"/>
        </w:rPr>
      </w:pPr>
      <w:bookmarkStart w:id="74" w:name="_Toc219553428"/>
      <w:bookmarkEnd w:id="74"/>
      <w:bookmarkStart w:id="75" w:name="_Toc219552588"/>
      <w:bookmarkEnd w:id="75"/>
      <w:bookmarkStart w:id="76" w:name="_Toc203486392"/>
      <w:bookmarkEnd w:id="76"/>
      <w:bookmarkStart w:id="77" w:name="_Toc219474585"/>
      <w:bookmarkEnd w:id="77"/>
      <w:r>
        <w:rPr>
          <w:rFonts w:hint="eastAsia" w:ascii="楷体" w:hAnsi="楷体" w:eastAsia="楷体" w:cs="宋体"/>
          <w:b/>
          <w:color w:val="000000"/>
          <w:sz w:val="30"/>
          <w:szCs w:val="30"/>
          <w:highlight w:val="none"/>
        </w:rPr>
        <w:t>4.2.4  高级经营层</w:t>
      </w:r>
    </w:p>
    <w:p>
      <w:pPr>
        <w:shd w:val="clear" w:color="auto" w:fill="FFFFFF"/>
        <w:adjustRightInd/>
        <w:snapToGrid/>
        <w:spacing w:after="0" w:line="560" w:lineRule="exact"/>
        <w:ind w:firstLine="601"/>
        <w:rPr>
          <w:rFonts w:ascii="仿宋_GB2312" w:hAnsi="微软雅黑" w:eastAsia="仿宋_GB2312" w:cs="宋体"/>
          <w:color w:val="444444"/>
          <w:sz w:val="30"/>
          <w:szCs w:val="30"/>
          <w:highlight w:val="none"/>
        </w:rPr>
      </w:pPr>
      <w:r>
        <w:rPr>
          <w:rFonts w:hint="eastAsia" w:ascii="仿宋_GB2312" w:hAnsi="微软雅黑" w:eastAsia="仿宋_GB2312" w:cs="宋体"/>
          <w:color w:val="444444"/>
          <w:sz w:val="30"/>
          <w:szCs w:val="30"/>
          <w:highlight w:val="none"/>
        </w:rPr>
        <w:t>本行的高级经营管理人员包括行长、副行长以及董事会确定的其他管理人员。</w:t>
      </w:r>
    </w:p>
    <w:p>
      <w:pPr>
        <w:shd w:val="clear" w:color="auto" w:fill="FFFFFF"/>
        <w:adjustRightInd/>
        <w:snapToGrid/>
        <w:spacing w:before="100" w:beforeAutospacing="1" w:after="100" w:afterAutospacing="1" w:line="600" w:lineRule="atLeast"/>
        <w:ind w:firstLine="600"/>
        <w:rPr>
          <w:rFonts w:ascii="仿宋_GB2312" w:hAnsi="微软雅黑" w:eastAsia="仿宋_GB2312" w:cs="宋体"/>
          <w:b/>
          <w:color w:val="444444"/>
          <w:sz w:val="30"/>
          <w:szCs w:val="30"/>
          <w:highlight w:val="none"/>
        </w:rPr>
      </w:pPr>
      <w:r>
        <w:rPr>
          <w:rFonts w:hint="eastAsia" w:ascii="仿宋_GB2312" w:hAnsi="微软雅黑" w:eastAsia="仿宋_GB2312" w:cs="宋体"/>
          <w:b/>
          <w:color w:val="444444"/>
          <w:sz w:val="28"/>
          <w:szCs w:val="28"/>
          <w:highlight w:val="none"/>
        </w:rPr>
        <w:t xml:space="preserve">表4－7     </w:t>
      </w:r>
      <w:r>
        <w:rPr>
          <w:rFonts w:hint="eastAsia" w:ascii="仿宋_GB2312" w:hAnsi="微软雅黑" w:eastAsia="仿宋_GB2312" w:cs="宋体"/>
          <w:b/>
          <w:color w:val="444444"/>
          <w:sz w:val="30"/>
          <w:szCs w:val="30"/>
          <w:highlight w:val="none"/>
        </w:rPr>
        <w:t>高级经营层成员情况表</w:t>
      </w:r>
    </w:p>
    <w:tbl>
      <w:tblPr>
        <w:tblStyle w:val="5"/>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2"/>
        <w:gridCol w:w="993"/>
        <w:gridCol w:w="708"/>
        <w:gridCol w:w="567"/>
        <w:gridCol w:w="993"/>
        <w:gridCol w:w="48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58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序号</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姓  名</w:t>
            </w:r>
          </w:p>
        </w:tc>
        <w:tc>
          <w:tcPr>
            <w:tcW w:w="70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年龄</w:t>
            </w:r>
          </w:p>
        </w:tc>
        <w:tc>
          <w:tcPr>
            <w:tcW w:w="567"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性别</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任  职</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分管部门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58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1</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8"/>
                <w:szCs w:val="28"/>
                <w:highlight w:val="none"/>
                <w:lang w:eastAsia="zh-CN"/>
              </w:rPr>
            </w:pPr>
            <w:r>
              <w:rPr>
                <w:rFonts w:hint="eastAsia" w:ascii="仿宋_GB2312" w:hAnsi="仿宋" w:eastAsia="仿宋_GB2312" w:cs="宋体"/>
                <w:sz w:val="28"/>
                <w:szCs w:val="28"/>
                <w:highlight w:val="none"/>
                <w:lang w:val="en-US" w:eastAsia="zh-CN"/>
              </w:rPr>
              <w:t>窦永天</w:t>
            </w:r>
          </w:p>
        </w:tc>
        <w:tc>
          <w:tcPr>
            <w:tcW w:w="70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51</w:t>
            </w:r>
          </w:p>
        </w:tc>
        <w:tc>
          <w:tcPr>
            <w:tcW w:w="567"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行  长</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hAnsi="仿宋" w:eastAsia="仿宋_GB2312" w:cs="宋体"/>
                <w:sz w:val="24"/>
                <w:szCs w:val="24"/>
                <w:highlight w:val="none"/>
                <w:lang w:val="en-US" w:eastAsia="zh-CN"/>
              </w:rPr>
            </w:pPr>
            <w:r>
              <w:rPr>
                <w:rFonts w:hint="eastAsia" w:ascii="仿宋_GB2312" w:eastAsia="仿宋_GB2312"/>
                <w:sz w:val="24"/>
                <w:szCs w:val="24"/>
                <w:highlight w:val="none"/>
                <w:lang w:val="en-US" w:eastAsia="zh-CN"/>
              </w:rPr>
              <w:t>主持经营管理工作，分管金融市场部、信贷管理部、统计部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58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2</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孟凡明</w:t>
            </w:r>
          </w:p>
        </w:tc>
        <w:tc>
          <w:tcPr>
            <w:tcW w:w="70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44</w:t>
            </w:r>
          </w:p>
        </w:tc>
        <w:tc>
          <w:tcPr>
            <w:tcW w:w="567"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监事长</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hAnsi="仿宋" w:eastAsia="仿宋_GB2312" w:cs="宋体"/>
                <w:sz w:val="24"/>
                <w:szCs w:val="24"/>
                <w:highlight w:val="none"/>
                <w:lang w:val="en-US" w:eastAsia="zh-CN"/>
              </w:rPr>
            </w:pPr>
            <w:r>
              <w:rPr>
                <w:rFonts w:hint="eastAsia" w:ascii="仿宋_GB2312" w:eastAsia="仿宋_GB2312"/>
                <w:sz w:val="24"/>
                <w:szCs w:val="24"/>
                <w:highlight w:val="none"/>
              </w:rPr>
              <w:t>分管工会、</w:t>
            </w:r>
            <w:r>
              <w:rPr>
                <w:rFonts w:hint="eastAsia" w:ascii="仿宋_GB2312" w:eastAsia="仿宋_GB2312"/>
                <w:sz w:val="24"/>
                <w:szCs w:val="24"/>
                <w:highlight w:val="none"/>
                <w:lang w:val="en-US" w:eastAsia="zh-CN"/>
              </w:rPr>
              <w:t>纪检监察室，协助董事长管理审计工作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58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3</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8"/>
                <w:szCs w:val="28"/>
                <w:highlight w:val="none"/>
                <w:lang w:eastAsia="zh-CN"/>
              </w:rPr>
            </w:pPr>
            <w:r>
              <w:rPr>
                <w:rFonts w:hint="eastAsia" w:ascii="仿宋_GB2312" w:hAnsi="仿宋" w:eastAsia="仿宋_GB2312" w:cs="宋体"/>
                <w:sz w:val="28"/>
                <w:szCs w:val="28"/>
                <w:highlight w:val="none"/>
                <w:lang w:eastAsia="zh-CN"/>
              </w:rPr>
              <w:t>江志前</w:t>
            </w:r>
          </w:p>
        </w:tc>
        <w:tc>
          <w:tcPr>
            <w:tcW w:w="70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48</w:t>
            </w:r>
          </w:p>
        </w:tc>
        <w:tc>
          <w:tcPr>
            <w:tcW w:w="567"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副行长</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hAnsi="仿宋" w:eastAsia="仿宋_GB2312" w:cs="宋体"/>
                <w:sz w:val="24"/>
                <w:szCs w:val="24"/>
                <w:highlight w:val="none"/>
                <w:lang w:val="en-US" w:eastAsia="zh-CN"/>
              </w:rPr>
            </w:pPr>
            <w:r>
              <w:rPr>
                <w:rFonts w:hint="eastAsia" w:ascii="仿宋_GB2312" w:eastAsia="仿宋_GB2312"/>
                <w:sz w:val="24"/>
                <w:szCs w:val="24"/>
                <w:highlight w:val="none"/>
              </w:rPr>
              <w:t>分管</w:t>
            </w:r>
            <w:r>
              <w:rPr>
                <w:rFonts w:hint="eastAsia" w:ascii="仿宋_GB2312" w:eastAsia="仿宋_GB2312"/>
                <w:sz w:val="24"/>
                <w:szCs w:val="24"/>
                <w:highlight w:val="none"/>
                <w:lang w:val="en-US" w:eastAsia="zh-CN"/>
              </w:rPr>
              <w:t>计划财务部、会计结算部、监控中心、安全保卫部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58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4</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8"/>
                <w:szCs w:val="28"/>
                <w:highlight w:val="none"/>
                <w:lang w:val="en-US" w:eastAsia="zh-CN"/>
              </w:rPr>
            </w:pPr>
            <w:r>
              <w:rPr>
                <w:rFonts w:hint="eastAsia" w:ascii="仿宋_GB2312" w:hAnsi="仿宋" w:eastAsia="仿宋_GB2312" w:cs="宋体"/>
                <w:sz w:val="28"/>
                <w:szCs w:val="28"/>
                <w:highlight w:val="none"/>
                <w:lang w:val="en-US" w:eastAsia="zh-CN"/>
              </w:rPr>
              <w:t>高春强</w:t>
            </w:r>
          </w:p>
        </w:tc>
        <w:tc>
          <w:tcPr>
            <w:tcW w:w="70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42</w:t>
            </w:r>
          </w:p>
        </w:tc>
        <w:tc>
          <w:tcPr>
            <w:tcW w:w="567"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副行长</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hAnsi="仿宋" w:eastAsia="仿宋_GB2312" w:cs="宋体"/>
                <w:sz w:val="24"/>
                <w:szCs w:val="24"/>
                <w:highlight w:val="none"/>
                <w:lang w:val="en-US" w:eastAsia="zh-CN"/>
              </w:rPr>
            </w:pPr>
            <w:r>
              <w:rPr>
                <w:rFonts w:hint="eastAsia" w:ascii="仿宋_GB2312" w:eastAsia="仿宋_GB2312"/>
                <w:sz w:val="24"/>
                <w:szCs w:val="24"/>
                <w:highlight w:val="none"/>
              </w:rPr>
              <w:t>分管</w:t>
            </w:r>
            <w:r>
              <w:rPr>
                <w:rFonts w:hint="eastAsia" w:ascii="仿宋_GB2312" w:eastAsia="仿宋_GB2312"/>
                <w:sz w:val="24"/>
                <w:szCs w:val="24"/>
                <w:highlight w:val="none"/>
                <w:lang w:val="en-US" w:eastAsia="zh-CN"/>
              </w:rPr>
              <w:t>风险资产管理经营中心、公司业务部、个人业务部、营业部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58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8"/>
                <w:szCs w:val="28"/>
                <w:highlight w:val="none"/>
              </w:rPr>
            </w:pPr>
            <w:r>
              <w:rPr>
                <w:rFonts w:hint="eastAsia" w:ascii="仿宋_GB2312" w:hAnsi="仿宋" w:eastAsia="仿宋_GB2312" w:cs="宋体"/>
                <w:sz w:val="28"/>
                <w:szCs w:val="28"/>
                <w:highlight w:val="none"/>
              </w:rPr>
              <w:t>5</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eastAsia" w:ascii="仿宋_GB2312" w:hAnsi="仿宋" w:eastAsia="仿宋_GB2312" w:cs="宋体"/>
                <w:sz w:val="28"/>
                <w:szCs w:val="28"/>
                <w:highlight w:val="none"/>
                <w:lang w:val="en-US" w:eastAsia="zh-CN"/>
              </w:rPr>
            </w:pPr>
            <w:r>
              <w:rPr>
                <w:rFonts w:hint="eastAsia" w:ascii="仿宋_GB2312" w:hAnsi="仿宋" w:eastAsia="仿宋_GB2312" w:cs="宋体"/>
                <w:sz w:val="28"/>
                <w:szCs w:val="28"/>
                <w:highlight w:val="none"/>
                <w:lang w:val="en-US" w:eastAsia="zh-CN"/>
              </w:rPr>
              <w:t>吉志宇</w:t>
            </w:r>
          </w:p>
        </w:tc>
        <w:tc>
          <w:tcPr>
            <w:tcW w:w="70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hAnsi="仿宋" w:eastAsia="仿宋_GB2312" w:cs="宋体"/>
                <w:sz w:val="24"/>
                <w:szCs w:val="24"/>
                <w:highlight w:val="none"/>
                <w:lang w:val="en-US" w:eastAsia="zh-CN"/>
              </w:rPr>
            </w:pPr>
            <w:r>
              <w:rPr>
                <w:rFonts w:hint="eastAsia" w:ascii="仿宋_GB2312" w:hAnsi="仿宋" w:eastAsia="仿宋_GB2312" w:cs="宋体"/>
                <w:sz w:val="24"/>
                <w:szCs w:val="24"/>
                <w:highlight w:val="none"/>
                <w:lang w:val="en-US" w:eastAsia="zh-CN"/>
              </w:rPr>
              <w:t>36</w:t>
            </w:r>
          </w:p>
        </w:tc>
        <w:tc>
          <w:tcPr>
            <w:tcW w:w="567"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男</w:t>
            </w:r>
          </w:p>
        </w:tc>
        <w:tc>
          <w:tcPr>
            <w:tcW w:w="993"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仿宋_GB2312" w:hAnsi="仿宋" w:eastAsia="仿宋_GB2312" w:cs="宋体"/>
                <w:sz w:val="24"/>
                <w:szCs w:val="24"/>
                <w:highlight w:val="none"/>
              </w:rPr>
            </w:pPr>
            <w:r>
              <w:rPr>
                <w:rFonts w:hint="eastAsia" w:ascii="仿宋_GB2312" w:hAnsi="仿宋" w:eastAsia="仿宋_GB2312" w:cs="宋体"/>
                <w:sz w:val="24"/>
                <w:szCs w:val="24"/>
                <w:highlight w:val="none"/>
              </w:rPr>
              <w:t>副行长</w:t>
            </w:r>
          </w:p>
        </w:tc>
        <w:tc>
          <w:tcPr>
            <w:tcW w:w="4819"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rPr>
              <w:t>分管</w:t>
            </w:r>
            <w:r>
              <w:rPr>
                <w:rFonts w:hint="eastAsia" w:ascii="仿宋_GB2312" w:eastAsia="仿宋_GB2312"/>
                <w:sz w:val="24"/>
                <w:szCs w:val="24"/>
                <w:highlight w:val="none"/>
                <w:lang w:val="en-US" w:eastAsia="zh-CN"/>
              </w:rPr>
              <w:t>办公室、人力资源部、合规风险部、市场拓展部</w:t>
            </w:r>
          </w:p>
        </w:tc>
      </w:tr>
    </w:tbl>
    <w:p>
      <w:pPr>
        <w:shd w:val="clear" w:color="auto" w:fill="FFFFFF"/>
        <w:adjustRightInd/>
        <w:snapToGrid/>
        <w:spacing w:before="100" w:beforeAutospacing="1" w:after="100" w:afterAutospacing="1" w:line="585" w:lineRule="atLeast"/>
        <w:ind w:firstLine="602" w:firstLineChars="200"/>
        <w:outlineLvl w:val="1"/>
        <w:rPr>
          <w:rFonts w:ascii="微软雅黑" w:hAnsi="微软雅黑" w:cs="宋体"/>
          <w:b/>
          <w:bCs/>
          <w:color w:val="444444"/>
          <w:sz w:val="36"/>
          <w:szCs w:val="36"/>
          <w:highlight w:val="none"/>
        </w:rPr>
      </w:pPr>
      <w:bookmarkStart w:id="78" w:name="_Toc219552589"/>
      <w:bookmarkEnd w:id="78"/>
      <w:bookmarkStart w:id="79" w:name="_Toc219474586"/>
      <w:bookmarkEnd w:id="79"/>
      <w:bookmarkStart w:id="80" w:name="_Toc203486393"/>
      <w:bookmarkEnd w:id="80"/>
      <w:bookmarkStart w:id="81" w:name="_Toc194886353"/>
      <w:bookmarkEnd w:id="81"/>
      <w:bookmarkStart w:id="82" w:name="_Toc203486394"/>
      <w:bookmarkEnd w:id="82"/>
      <w:bookmarkStart w:id="83" w:name="_Toc219474587"/>
      <w:bookmarkEnd w:id="83"/>
      <w:bookmarkStart w:id="84" w:name="_Toc194908733"/>
      <w:bookmarkEnd w:id="84"/>
      <w:bookmarkStart w:id="85" w:name="_Toc219553430"/>
      <w:bookmarkEnd w:id="85"/>
      <w:bookmarkStart w:id="86" w:name="_Toc194887792"/>
      <w:bookmarkEnd w:id="86"/>
      <w:bookmarkStart w:id="87" w:name="_Toc219552590"/>
      <w:bookmarkEnd w:id="87"/>
      <w:bookmarkStart w:id="88" w:name="_Toc219553429"/>
      <w:bookmarkEnd w:id="88"/>
      <w:r>
        <w:rPr>
          <w:rFonts w:hint="eastAsia" w:ascii="黑体" w:hAnsi="黑体" w:eastAsia="黑体" w:cs="宋体"/>
          <w:b/>
          <w:bCs/>
          <w:color w:val="444444"/>
          <w:sz w:val="30"/>
          <w:szCs w:val="30"/>
          <w:highlight w:val="none"/>
        </w:rPr>
        <w:t>4.3</w:t>
      </w:r>
      <w:r>
        <w:rPr>
          <w:rFonts w:hint="eastAsia" w:ascii="宋体" w:hAnsi="宋体" w:eastAsia="宋体" w:cs="宋体"/>
          <w:b/>
          <w:bCs/>
          <w:color w:val="444444"/>
          <w:sz w:val="30"/>
          <w:szCs w:val="30"/>
          <w:highlight w:val="none"/>
        </w:rPr>
        <w:t> </w:t>
      </w:r>
      <w:r>
        <w:rPr>
          <w:rFonts w:hint="eastAsia" w:ascii="黑体" w:hAnsi="黑体" w:eastAsia="黑体" w:cs="宋体"/>
          <w:b/>
          <w:bCs/>
          <w:color w:val="444444"/>
          <w:sz w:val="30"/>
          <w:szCs w:val="30"/>
          <w:highlight w:val="none"/>
        </w:rPr>
        <w:t>“三会一层”运行情况</w:t>
      </w:r>
    </w:p>
    <w:p>
      <w:pPr>
        <w:shd w:val="clear" w:color="auto" w:fill="FFFFFF"/>
        <w:adjustRightInd/>
        <w:snapToGrid/>
        <w:spacing w:before="100" w:beforeAutospacing="1" w:after="100" w:afterAutospacing="1" w:line="585" w:lineRule="atLeast"/>
        <w:ind w:firstLine="602" w:firstLineChars="200"/>
        <w:rPr>
          <w:rFonts w:ascii="楷体" w:hAnsi="楷体" w:eastAsia="楷体" w:cs="宋体"/>
          <w:b/>
          <w:color w:val="000000"/>
          <w:sz w:val="30"/>
          <w:szCs w:val="30"/>
          <w:highlight w:val="yellow"/>
        </w:rPr>
      </w:pPr>
      <w:bookmarkStart w:id="89" w:name="_Toc203486395"/>
      <w:bookmarkEnd w:id="89"/>
      <w:bookmarkStart w:id="90" w:name="_Toc219552591"/>
      <w:bookmarkEnd w:id="90"/>
      <w:bookmarkStart w:id="91" w:name="_Toc219474588"/>
      <w:bookmarkEnd w:id="91"/>
      <w:bookmarkStart w:id="92" w:name="_Toc219553431"/>
      <w:bookmarkEnd w:id="92"/>
      <w:r>
        <w:rPr>
          <w:rFonts w:hint="eastAsia" w:ascii="楷体" w:hAnsi="楷体" w:eastAsia="楷体" w:cs="宋体"/>
          <w:b/>
          <w:color w:val="000000"/>
          <w:sz w:val="30"/>
          <w:szCs w:val="30"/>
          <w:highlight w:val="yellow"/>
        </w:rPr>
        <w:t>4.3.1  股东大会召开情况</w:t>
      </w:r>
    </w:p>
    <w:p>
      <w:pPr>
        <w:shd w:val="clear" w:color="auto" w:fill="FFFFFF"/>
        <w:spacing w:line="560" w:lineRule="exact"/>
        <w:ind w:firstLine="645"/>
        <w:rPr>
          <w:rFonts w:ascii="仿宋_GB2312" w:hAnsi="微软雅黑" w:eastAsia="仿宋_GB2312" w:cs="宋体"/>
          <w:color w:val="444444"/>
          <w:sz w:val="30"/>
          <w:szCs w:val="30"/>
          <w:highlight w:val="yellow"/>
        </w:rPr>
      </w:pPr>
      <w:bookmarkStart w:id="93" w:name="_Toc219474589"/>
      <w:bookmarkEnd w:id="93"/>
      <w:bookmarkStart w:id="94" w:name="_Toc219553432"/>
      <w:bookmarkEnd w:id="94"/>
      <w:bookmarkStart w:id="95" w:name="_Toc219552592"/>
      <w:bookmarkEnd w:id="95"/>
      <w:bookmarkStart w:id="96" w:name="_Toc203486396"/>
      <w:bookmarkEnd w:id="96"/>
      <w:r>
        <w:rPr>
          <w:rFonts w:hint="eastAsia" w:ascii="仿宋_GB2312" w:hAnsi="微软雅黑" w:eastAsia="仿宋_GB2312" w:cs="宋体"/>
          <w:color w:val="444444"/>
          <w:sz w:val="30"/>
          <w:szCs w:val="30"/>
          <w:highlight w:val="yellow"/>
        </w:rPr>
        <w:t>20</w:t>
      </w:r>
      <w:r>
        <w:rPr>
          <w:rFonts w:hint="eastAsia" w:ascii="仿宋_GB2312" w:hAnsi="微软雅黑" w:eastAsia="仿宋_GB2312" w:cs="宋体"/>
          <w:color w:val="444444"/>
          <w:sz w:val="30"/>
          <w:szCs w:val="30"/>
          <w:highlight w:val="yellow"/>
          <w:lang w:val="en-US" w:eastAsia="zh-CN"/>
        </w:rPr>
        <w:t>22</w:t>
      </w:r>
      <w:r>
        <w:rPr>
          <w:rFonts w:hint="eastAsia" w:ascii="仿宋_GB2312" w:hAnsi="微软雅黑" w:eastAsia="仿宋_GB2312" w:cs="宋体"/>
          <w:color w:val="444444"/>
          <w:sz w:val="30"/>
          <w:szCs w:val="30"/>
          <w:highlight w:val="yellow"/>
        </w:rPr>
        <w:t>年</w:t>
      </w:r>
      <w:r>
        <w:rPr>
          <w:rFonts w:hint="eastAsia" w:ascii="仿宋_GB2312" w:hAnsi="微软雅黑" w:eastAsia="仿宋_GB2312" w:cs="宋体"/>
          <w:color w:val="444444"/>
          <w:sz w:val="30"/>
          <w:szCs w:val="30"/>
          <w:highlight w:val="yellow"/>
          <w:lang w:val="en-US" w:eastAsia="zh-CN"/>
        </w:rPr>
        <w:t>10</w:t>
      </w:r>
      <w:r>
        <w:rPr>
          <w:rFonts w:hint="eastAsia" w:ascii="仿宋_GB2312" w:hAnsi="微软雅黑" w:eastAsia="仿宋_GB2312" w:cs="宋体"/>
          <w:color w:val="444444"/>
          <w:sz w:val="30"/>
          <w:szCs w:val="30"/>
          <w:highlight w:val="yellow"/>
        </w:rPr>
        <w:t>月</w:t>
      </w:r>
      <w:r>
        <w:rPr>
          <w:rFonts w:hint="eastAsia" w:ascii="仿宋_GB2312" w:hAnsi="微软雅黑" w:eastAsia="仿宋_GB2312" w:cs="宋体"/>
          <w:color w:val="444444"/>
          <w:sz w:val="30"/>
          <w:szCs w:val="30"/>
          <w:highlight w:val="yellow"/>
          <w:lang w:val="en-US" w:eastAsia="zh-CN"/>
        </w:rPr>
        <w:t>10</w:t>
      </w:r>
      <w:r>
        <w:rPr>
          <w:rFonts w:hint="eastAsia" w:ascii="仿宋_GB2312" w:hAnsi="微软雅黑" w:eastAsia="仿宋_GB2312" w:cs="宋体"/>
          <w:color w:val="444444"/>
          <w:sz w:val="30"/>
          <w:szCs w:val="30"/>
          <w:highlight w:val="yellow"/>
        </w:rPr>
        <w:t>日，召开了本行年度股东大会，按照法定程序审议通过了</w:t>
      </w:r>
      <w:r>
        <w:rPr>
          <w:rFonts w:hint="eastAsia" w:ascii="仿宋_GB2312" w:eastAsia="仿宋_GB2312"/>
          <w:sz w:val="30"/>
          <w:szCs w:val="30"/>
          <w:highlight w:val="yellow"/>
        </w:rPr>
        <w:t>《河北玉田农村商业银行股份有限公司20</w:t>
      </w:r>
      <w:r>
        <w:rPr>
          <w:rFonts w:hint="eastAsia" w:ascii="仿宋_GB2312" w:eastAsia="仿宋_GB2312"/>
          <w:sz w:val="30"/>
          <w:szCs w:val="30"/>
          <w:highlight w:val="yellow"/>
          <w:lang w:val="en-US" w:eastAsia="zh-CN"/>
        </w:rPr>
        <w:t>20</w:t>
      </w:r>
      <w:r>
        <w:rPr>
          <w:rFonts w:hint="eastAsia" w:ascii="仿宋_GB2312" w:eastAsia="仿宋_GB2312"/>
          <w:sz w:val="30"/>
          <w:szCs w:val="30"/>
          <w:highlight w:val="yellow"/>
        </w:rPr>
        <w:t>年度董事会工作报告》、《河北玉田农村商业银行股份有限公司20</w:t>
      </w:r>
      <w:r>
        <w:rPr>
          <w:rFonts w:hint="eastAsia" w:ascii="仿宋_GB2312" w:eastAsia="仿宋_GB2312"/>
          <w:sz w:val="30"/>
          <w:szCs w:val="30"/>
          <w:highlight w:val="yellow"/>
          <w:lang w:val="en-US" w:eastAsia="zh-CN"/>
        </w:rPr>
        <w:t>22</w:t>
      </w:r>
      <w:r>
        <w:rPr>
          <w:rFonts w:hint="eastAsia" w:ascii="仿宋_GB2312" w:eastAsia="仿宋_GB2312"/>
          <w:sz w:val="30"/>
          <w:szCs w:val="30"/>
          <w:highlight w:val="yellow"/>
        </w:rPr>
        <w:t>年度监事会工作报告》</w:t>
      </w:r>
      <w:r>
        <w:rPr>
          <w:rFonts w:hint="eastAsia" w:ascii="仿宋_GB2312" w:hAnsi="方正小标宋_GBK" w:eastAsia="仿宋_GB2312" w:cs="宋体"/>
          <w:bCs/>
          <w:color w:val="2B2B2B"/>
          <w:kern w:val="36"/>
          <w:sz w:val="30"/>
          <w:szCs w:val="30"/>
          <w:highlight w:val="yellow"/>
        </w:rPr>
        <w:t>、</w:t>
      </w:r>
      <w:r>
        <w:rPr>
          <w:rFonts w:hint="eastAsia" w:ascii="仿宋_GB2312" w:eastAsia="仿宋_GB2312"/>
          <w:sz w:val="30"/>
          <w:szCs w:val="30"/>
          <w:highlight w:val="yellow"/>
        </w:rPr>
        <w:t>《河北玉田农村商业银行股份有限公司20</w:t>
      </w:r>
      <w:r>
        <w:rPr>
          <w:rFonts w:hint="eastAsia" w:ascii="仿宋_GB2312" w:eastAsia="仿宋_GB2312"/>
          <w:sz w:val="30"/>
          <w:szCs w:val="30"/>
          <w:highlight w:val="yellow"/>
          <w:lang w:val="en-US" w:eastAsia="zh-CN"/>
        </w:rPr>
        <w:t>22</w:t>
      </w:r>
      <w:r>
        <w:rPr>
          <w:rFonts w:hint="eastAsia" w:ascii="仿宋_GB2312" w:eastAsia="仿宋_GB2312"/>
          <w:sz w:val="30"/>
          <w:szCs w:val="30"/>
          <w:highlight w:val="yellow"/>
        </w:rPr>
        <w:t>年度财务决算报告和20</w:t>
      </w:r>
      <w:r>
        <w:rPr>
          <w:rFonts w:hint="eastAsia" w:ascii="仿宋_GB2312" w:eastAsia="仿宋_GB2312"/>
          <w:sz w:val="30"/>
          <w:szCs w:val="30"/>
          <w:highlight w:val="yellow"/>
          <w:lang w:val="en-US" w:eastAsia="zh-CN"/>
        </w:rPr>
        <w:t>23</w:t>
      </w:r>
      <w:r>
        <w:rPr>
          <w:rFonts w:hint="eastAsia" w:ascii="仿宋_GB2312" w:eastAsia="仿宋_GB2312"/>
          <w:sz w:val="30"/>
          <w:szCs w:val="30"/>
          <w:highlight w:val="yellow"/>
        </w:rPr>
        <w:t>年度财务预算方案》（草案）、《河北玉田农村商业银行股份有限公司20</w:t>
      </w:r>
      <w:r>
        <w:rPr>
          <w:rFonts w:hint="eastAsia" w:ascii="仿宋_GB2312" w:eastAsia="仿宋_GB2312"/>
          <w:sz w:val="30"/>
          <w:szCs w:val="30"/>
          <w:highlight w:val="yellow"/>
          <w:lang w:val="en-US" w:eastAsia="zh-CN"/>
        </w:rPr>
        <w:t>22</w:t>
      </w:r>
      <w:r>
        <w:rPr>
          <w:rFonts w:hint="eastAsia" w:ascii="仿宋_GB2312" w:eastAsia="仿宋_GB2312"/>
          <w:sz w:val="30"/>
          <w:szCs w:val="30"/>
          <w:highlight w:val="yellow"/>
        </w:rPr>
        <w:t>年度利润分配方案》（草案）</w:t>
      </w:r>
      <w:r>
        <w:rPr>
          <w:rFonts w:hint="eastAsia" w:ascii="仿宋_GB2312" w:eastAsia="仿宋_GB2312"/>
          <w:sz w:val="30"/>
          <w:szCs w:val="30"/>
          <w:highlight w:val="yellow"/>
          <w:lang w:eastAsia="zh-CN"/>
        </w:rPr>
        <w:t>、《河北玉田农村商业银行股份有限公司2022年度关联交易情况报告（草案）》《河北玉田农村商业银行股份有限公司章程修正案（草案）》《河北玉田农村商业银行股份有限公司监事会对董事会及其成员、高级管理层及其成员、监事2022年度履职情况的评价报告（草案）》等</w:t>
      </w:r>
      <w:r>
        <w:rPr>
          <w:rFonts w:hint="eastAsia" w:ascii="仿宋_GB2312" w:eastAsia="仿宋_GB2312"/>
          <w:sz w:val="30"/>
          <w:szCs w:val="30"/>
          <w:highlight w:val="yellow"/>
        </w:rPr>
        <w:t>。</w:t>
      </w:r>
      <w:r>
        <w:rPr>
          <w:rFonts w:hint="eastAsia" w:ascii="仿宋_GB2312" w:hAnsi="微软雅黑" w:eastAsia="仿宋_GB2312" w:cs="宋体"/>
          <w:color w:val="444444"/>
          <w:sz w:val="30"/>
          <w:szCs w:val="30"/>
          <w:highlight w:val="yellow"/>
        </w:rPr>
        <w:t>会议应到股东（代理人）</w:t>
      </w:r>
      <w:r>
        <w:rPr>
          <w:rFonts w:hint="eastAsia" w:ascii="仿宋_GB2312" w:hAnsi="微软雅黑" w:eastAsia="仿宋_GB2312" w:cs="宋体"/>
          <w:color w:val="444444"/>
          <w:sz w:val="30"/>
          <w:szCs w:val="30"/>
          <w:highlight w:val="yellow"/>
          <w:lang w:val="en-US" w:eastAsia="zh-CN"/>
        </w:rPr>
        <w:t>106</w:t>
      </w:r>
      <w:r>
        <w:rPr>
          <w:rFonts w:hint="eastAsia" w:ascii="仿宋_GB2312" w:hAnsi="微软雅黑" w:eastAsia="仿宋_GB2312" w:cs="宋体"/>
          <w:color w:val="444444"/>
          <w:sz w:val="30"/>
          <w:szCs w:val="30"/>
          <w:highlight w:val="yellow"/>
        </w:rPr>
        <w:t>人，代表投票权</w:t>
      </w:r>
      <w:r>
        <w:rPr>
          <w:rFonts w:hint="eastAsia" w:ascii="仿宋_GB2312" w:hAnsi="微软雅黑" w:eastAsia="仿宋_GB2312" w:cs="宋体"/>
          <w:color w:val="444444"/>
          <w:sz w:val="30"/>
          <w:szCs w:val="30"/>
          <w:highlight w:val="yellow"/>
          <w:lang w:val="en-US" w:eastAsia="zh-CN"/>
        </w:rPr>
        <w:t>63318.2128</w:t>
      </w:r>
      <w:r>
        <w:rPr>
          <w:rFonts w:hint="eastAsia" w:ascii="仿宋_GB2312" w:hAnsi="微软雅黑" w:eastAsia="仿宋_GB2312" w:cs="宋体"/>
          <w:color w:val="444444"/>
          <w:sz w:val="30"/>
          <w:szCs w:val="30"/>
          <w:highlight w:val="yellow"/>
        </w:rPr>
        <w:t>万股，实到股东（代理人）</w:t>
      </w:r>
      <w:r>
        <w:rPr>
          <w:rFonts w:hint="eastAsia" w:ascii="仿宋_GB2312" w:hAnsi="微软雅黑" w:eastAsia="仿宋_GB2312" w:cs="宋体"/>
          <w:color w:val="444444"/>
          <w:sz w:val="30"/>
          <w:szCs w:val="30"/>
          <w:highlight w:val="yellow"/>
          <w:lang w:val="en-US" w:eastAsia="zh-CN"/>
        </w:rPr>
        <w:t>106</w:t>
      </w:r>
      <w:r>
        <w:rPr>
          <w:rFonts w:hint="eastAsia" w:ascii="仿宋_GB2312" w:hAnsi="微软雅黑" w:eastAsia="仿宋_GB2312" w:cs="宋体"/>
          <w:color w:val="444444"/>
          <w:sz w:val="30"/>
          <w:szCs w:val="30"/>
          <w:highlight w:val="yellow"/>
        </w:rPr>
        <w:t>人，代表投票权</w:t>
      </w:r>
      <w:r>
        <w:rPr>
          <w:rFonts w:hint="eastAsia" w:ascii="仿宋_GB2312" w:hAnsi="微软雅黑" w:eastAsia="仿宋_GB2312" w:cs="宋体"/>
          <w:color w:val="444444"/>
          <w:sz w:val="30"/>
          <w:szCs w:val="30"/>
          <w:highlight w:val="yellow"/>
          <w:lang w:val="en-US" w:eastAsia="zh-CN"/>
        </w:rPr>
        <w:t>63318.2128</w:t>
      </w:r>
      <w:r>
        <w:rPr>
          <w:rFonts w:hint="eastAsia" w:ascii="仿宋_GB2312" w:hAnsi="微软雅黑" w:eastAsia="仿宋_GB2312" w:cs="宋体"/>
          <w:color w:val="444444"/>
          <w:sz w:val="30"/>
          <w:szCs w:val="30"/>
          <w:highlight w:val="yellow"/>
        </w:rPr>
        <w:t>万股，实到股东（代理人）所持票权占票权总数的</w:t>
      </w:r>
      <w:r>
        <w:rPr>
          <w:rFonts w:hint="eastAsia" w:ascii="仿宋_GB2312" w:hAnsi="微软雅黑" w:eastAsia="仿宋_GB2312" w:cs="宋体"/>
          <w:color w:val="444444"/>
          <w:sz w:val="30"/>
          <w:szCs w:val="30"/>
          <w:highlight w:val="yellow"/>
          <w:lang w:val="en-US" w:eastAsia="zh-CN"/>
        </w:rPr>
        <w:t>99.83</w:t>
      </w:r>
      <w:r>
        <w:rPr>
          <w:rFonts w:hint="eastAsia" w:ascii="仿宋_GB2312" w:hAnsi="微软雅黑" w:eastAsia="仿宋_GB2312" w:cs="宋体"/>
          <w:color w:val="444444"/>
          <w:sz w:val="30"/>
          <w:szCs w:val="30"/>
          <w:highlight w:val="yellow"/>
        </w:rPr>
        <w:t>%。</w:t>
      </w:r>
    </w:p>
    <w:p>
      <w:pPr>
        <w:shd w:val="clear" w:color="auto" w:fill="FFFFFF"/>
        <w:adjustRightInd/>
        <w:snapToGrid/>
        <w:spacing w:after="0" w:line="560" w:lineRule="exact"/>
        <w:ind w:firstLine="601"/>
        <w:rPr>
          <w:rFonts w:ascii="楷体" w:hAnsi="楷体" w:eastAsia="楷体" w:cs="宋体"/>
          <w:b/>
          <w:color w:val="000000"/>
          <w:sz w:val="30"/>
          <w:szCs w:val="30"/>
          <w:highlight w:val="none"/>
        </w:rPr>
      </w:pPr>
      <w:r>
        <w:rPr>
          <w:rFonts w:hint="eastAsia" w:ascii="楷体" w:hAnsi="楷体" w:eastAsia="楷体" w:cs="宋体"/>
          <w:b/>
          <w:color w:val="000000"/>
          <w:sz w:val="30"/>
          <w:szCs w:val="30"/>
          <w:highlight w:val="none"/>
        </w:rPr>
        <w:t>4.3.2  董事会履职情况</w:t>
      </w:r>
    </w:p>
    <w:p>
      <w:pPr>
        <w:shd w:val="clear" w:color="auto" w:fill="FFFFFF"/>
        <w:adjustRightInd/>
        <w:snapToGrid/>
        <w:spacing w:after="0" w:line="560" w:lineRule="exact"/>
        <w:ind w:firstLine="601"/>
        <w:rPr>
          <w:rFonts w:hint="default" w:ascii="仿宋_GB2312" w:hAnsi="微软雅黑" w:eastAsia="仿宋_GB2312" w:cs="宋体"/>
          <w:color w:val="444444"/>
          <w:sz w:val="30"/>
          <w:szCs w:val="30"/>
          <w:highlight w:val="none"/>
          <w:lang w:val="en-US" w:eastAsia="zh-CN"/>
        </w:rPr>
      </w:pPr>
      <w:r>
        <w:rPr>
          <w:rFonts w:hint="eastAsia" w:ascii="仿宋_GB2312" w:hAnsi="仿宋" w:eastAsia="仿宋_GB2312" w:cs="宋体"/>
          <w:sz w:val="30"/>
          <w:szCs w:val="30"/>
          <w:highlight w:val="none"/>
        </w:rPr>
        <w:t>本行董事会及各位董事忠实、诚信、勤勉履行职责。董事会按照《公司法》、《公司章程》等有关法律法规的要求，认真履行章程赋予的工作职责。忠实执行股东大会通过的各项决议，不断提高董事会决策的科学性，领导各专门委员会按照相应的工作制度规范运作。</w:t>
      </w:r>
      <w:r>
        <w:rPr>
          <w:rFonts w:hint="eastAsia" w:ascii="仿宋_GB2312" w:hAnsi="微软雅黑" w:eastAsia="仿宋_GB2312" w:cs="宋体"/>
          <w:color w:val="444444"/>
          <w:sz w:val="30"/>
          <w:szCs w:val="30"/>
          <w:highlight w:val="none"/>
        </w:rPr>
        <w:t>20</w:t>
      </w:r>
      <w:r>
        <w:rPr>
          <w:rFonts w:hint="eastAsia" w:ascii="仿宋_GB2312" w:hAnsi="微软雅黑" w:eastAsia="仿宋_GB2312" w:cs="宋体"/>
          <w:color w:val="444444"/>
          <w:sz w:val="30"/>
          <w:szCs w:val="30"/>
          <w:highlight w:val="none"/>
          <w:lang w:val="en-US" w:eastAsia="zh-CN"/>
        </w:rPr>
        <w:t>22</w:t>
      </w:r>
      <w:r>
        <w:rPr>
          <w:rFonts w:hint="eastAsia" w:ascii="仿宋_GB2312" w:hAnsi="微软雅黑" w:eastAsia="仿宋_GB2312" w:cs="宋体"/>
          <w:color w:val="444444"/>
          <w:sz w:val="30"/>
          <w:szCs w:val="30"/>
          <w:highlight w:val="none"/>
        </w:rPr>
        <w:t>年共计召开</w:t>
      </w:r>
      <w:r>
        <w:rPr>
          <w:rFonts w:hint="eastAsia" w:ascii="仿宋_GB2312" w:hAnsi="微软雅黑" w:eastAsia="仿宋_GB2312" w:cs="宋体"/>
          <w:color w:val="444444"/>
          <w:sz w:val="30"/>
          <w:szCs w:val="30"/>
          <w:highlight w:val="none"/>
          <w:lang w:val="en-US" w:eastAsia="zh-CN"/>
        </w:rPr>
        <w:t>17</w:t>
      </w:r>
      <w:r>
        <w:rPr>
          <w:rFonts w:hint="eastAsia" w:ascii="仿宋_GB2312" w:hAnsi="微软雅黑" w:eastAsia="仿宋_GB2312" w:cs="宋体"/>
          <w:color w:val="444444"/>
          <w:sz w:val="30"/>
          <w:szCs w:val="30"/>
          <w:highlight w:val="none"/>
        </w:rPr>
        <w:t>次董事会</w:t>
      </w:r>
      <w:r>
        <w:rPr>
          <w:rFonts w:hint="eastAsia" w:ascii="仿宋_GB2312" w:hAnsi="微软雅黑" w:eastAsia="仿宋_GB2312" w:cs="宋体"/>
          <w:color w:val="444444"/>
          <w:sz w:val="30"/>
          <w:szCs w:val="30"/>
          <w:highlight w:val="none"/>
          <w:lang w:eastAsia="zh-CN"/>
        </w:rPr>
        <w:t>，</w:t>
      </w:r>
      <w:r>
        <w:rPr>
          <w:rFonts w:hint="eastAsia" w:ascii="仿宋_GB2312" w:hAnsi="微软雅黑" w:eastAsia="仿宋_GB2312" w:cs="宋体"/>
          <w:color w:val="444444"/>
          <w:sz w:val="30"/>
          <w:szCs w:val="30"/>
          <w:highlight w:val="none"/>
          <w:lang w:val="en-US" w:eastAsia="zh-CN"/>
        </w:rPr>
        <w:t>审议通过了关于董事会、监事会工作报告（草案），利润分配方案（草案），关联交易、股权转让及继承等议案。</w:t>
      </w:r>
    </w:p>
    <w:p>
      <w:pPr>
        <w:shd w:val="clear" w:color="auto" w:fill="FFFFFF"/>
        <w:adjustRightInd/>
        <w:snapToGrid/>
        <w:spacing w:after="0" w:line="560" w:lineRule="exact"/>
        <w:ind w:firstLine="601"/>
        <w:rPr>
          <w:rFonts w:ascii="仿宋_GB2312" w:hAnsi="微软雅黑" w:eastAsia="楷体" w:cs="宋体"/>
          <w:color w:val="444444"/>
          <w:sz w:val="30"/>
          <w:szCs w:val="30"/>
        </w:rPr>
      </w:pPr>
      <w:r>
        <w:rPr>
          <w:rFonts w:hint="eastAsia" w:ascii="楷体" w:hAnsi="楷体" w:eastAsia="楷体" w:cs="宋体"/>
          <w:b/>
          <w:color w:val="000000"/>
          <w:sz w:val="30"/>
          <w:szCs w:val="30"/>
        </w:rPr>
        <w:t>4.3.3  监事会履职情况</w:t>
      </w:r>
    </w:p>
    <w:p>
      <w:pPr>
        <w:shd w:val="clear" w:color="auto" w:fill="FFFFFF"/>
        <w:adjustRightInd/>
        <w:snapToGrid/>
        <w:spacing w:after="0" w:line="560" w:lineRule="exact"/>
        <w:ind w:firstLine="600" w:firstLineChars="200"/>
        <w:rPr>
          <w:rFonts w:hint="default" w:ascii="仿宋_GB2312" w:hAnsi="仿宋" w:eastAsia="仿宋_GB2312" w:cs="宋体"/>
          <w:sz w:val="30"/>
          <w:szCs w:val="30"/>
          <w:lang w:val="en-US" w:eastAsia="zh-CN"/>
        </w:rPr>
      </w:pPr>
      <w:r>
        <w:rPr>
          <w:rFonts w:hint="eastAsia" w:ascii="仿宋_GB2312" w:hAnsi="仿宋" w:eastAsia="仿宋_GB2312" w:cs="宋体"/>
          <w:sz w:val="30"/>
          <w:szCs w:val="30"/>
        </w:rPr>
        <w:t>本行监事会及各位监事能够按照法律法规及本行章程规定，认真履行股东大会赋予的职责，紧紧围绕制度规范、资产质量、财务管理、业务操作流程的合规性、合法性和风险防范等工作重心，对本行的经营活动以及高管人员履行职责的合规合法性进行监督，维护本行和股东的合法权益。</w:t>
      </w:r>
      <w:r>
        <w:rPr>
          <w:rFonts w:hint="eastAsia" w:ascii="仿宋_GB2312" w:hAnsi="微软雅黑" w:eastAsia="仿宋_GB2312" w:cs="宋体"/>
          <w:color w:val="444444"/>
          <w:sz w:val="30"/>
          <w:szCs w:val="30"/>
        </w:rPr>
        <w:t>202</w:t>
      </w:r>
      <w:r>
        <w:rPr>
          <w:rFonts w:hint="eastAsia" w:ascii="仿宋_GB2312" w:hAnsi="微软雅黑" w:eastAsia="仿宋_GB2312" w:cs="宋体"/>
          <w:color w:val="444444"/>
          <w:sz w:val="30"/>
          <w:szCs w:val="30"/>
          <w:lang w:val="en-US" w:eastAsia="zh-CN"/>
        </w:rPr>
        <w:t>2</w:t>
      </w:r>
      <w:r>
        <w:rPr>
          <w:rFonts w:hint="eastAsia" w:ascii="仿宋_GB2312" w:hAnsi="微软雅黑" w:eastAsia="仿宋_GB2312" w:cs="宋体"/>
          <w:color w:val="444444"/>
          <w:sz w:val="30"/>
          <w:szCs w:val="30"/>
        </w:rPr>
        <w:t>年共计召开</w:t>
      </w:r>
      <w:r>
        <w:rPr>
          <w:rFonts w:hint="eastAsia" w:ascii="仿宋_GB2312" w:hAnsi="微软雅黑" w:eastAsia="仿宋_GB2312" w:cs="宋体"/>
          <w:color w:val="444444"/>
          <w:sz w:val="30"/>
          <w:szCs w:val="30"/>
          <w:lang w:val="en-US" w:eastAsia="zh-CN"/>
        </w:rPr>
        <w:t>5</w:t>
      </w:r>
      <w:r>
        <w:rPr>
          <w:rFonts w:hint="eastAsia" w:ascii="仿宋_GB2312" w:hAnsi="微软雅黑" w:eastAsia="仿宋_GB2312" w:cs="宋体"/>
          <w:color w:val="444444"/>
          <w:sz w:val="30"/>
          <w:szCs w:val="30"/>
        </w:rPr>
        <w:t>次监事会</w:t>
      </w:r>
      <w:r>
        <w:rPr>
          <w:rFonts w:hint="eastAsia" w:ascii="仿宋_GB2312" w:hAnsi="微软雅黑" w:eastAsia="仿宋_GB2312" w:cs="宋体"/>
          <w:color w:val="444444"/>
          <w:sz w:val="30"/>
          <w:szCs w:val="30"/>
          <w:lang w:eastAsia="zh-CN"/>
        </w:rPr>
        <w:t>，</w:t>
      </w:r>
      <w:r>
        <w:rPr>
          <w:rFonts w:hint="eastAsia" w:ascii="仿宋_GB2312" w:hAnsi="微软雅黑" w:eastAsia="仿宋_GB2312" w:cs="宋体"/>
          <w:color w:val="444444"/>
          <w:sz w:val="30"/>
          <w:szCs w:val="30"/>
          <w:lang w:val="en-US" w:eastAsia="zh-CN"/>
        </w:rPr>
        <w:t>审议通过了薪酬绩效管理暂行办法、科技信息和消费者权益保护审计报告等议案。</w:t>
      </w:r>
    </w:p>
    <w:p>
      <w:pPr>
        <w:shd w:val="clear" w:color="auto" w:fill="FFFFFF"/>
        <w:adjustRightInd/>
        <w:snapToGrid/>
        <w:spacing w:before="100" w:after="100" w:line="600" w:lineRule="exact"/>
        <w:ind w:firstLine="602" w:firstLineChars="200"/>
        <w:rPr>
          <w:rFonts w:ascii="楷体" w:hAnsi="楷体" w:eastAsia="楷体" w:cs="宋体"/>
          <w:b/>
          <w:color w:val="000000"/>
          <w:sz w:val="30"/>
          <w:szCs w:val="30"/>
          <w:highlight w:val="none"/>
        </w:rPr>
      </w:pPr>
      <w:r>
        <w:rPr>
          <w:rFonts w:hint="eastAsia" w:ascii="楷体" w:hAnsi="楷体" w:eastAsia="楷体" w:cs="宋体"/>
          <w:b/>
          <w:color w:val="000000"/>
          <w:sz w:val="30"/>
          <w:szCs w:val="30"/>
          <w:highlight w:val="none"/>
        </w:rPr>
        <w:t>4.3.4    高级管理层履职情况</w:t>
      </w:r>
    </w:p>
    <w:p>
      <w:pPr>
        <w:shd w:val="clear" w:color="auto" w:fill="FFFFFF"/>
        <w:adjustRightInd/>
        <w:snapToGrid/>
        <w:spacing w:after="0" w:line="560" w:lineRule="exact"/>
        <w:ind w:firstLine="601"/>
        <w:rPr>
          <w:rFonts w:ascii="仿宋_GB2312" w:hAnsi="仿宋" w:eastAsia="仿宋_GB2312" w:cs="宋体"/>
          <w:sz w:val="30"/>
          <w:szCs w:val="30"/>
          <w:highlight w:val="none"/>
        </w:rPr>
      </w:pPr>
      <w:r>
        <w:rPr>
          <w:rFonts w:hint="eastAsia" w:ascii="仿宋_GB2312" w:hAnsi="微软雅黑" w:eastAsia="仿宋_GB2312" w:cs="宋体"/>
          <w:color w:val="444444"/>
          <w:sz w:val="30"/>
          <w:szCs w:val="30"/>
          <w:highlight w:val="none"/>
        </w:rPr>
        <w:t>20</w:t>
      </w:r>
      <w:r>
        <w:rPr>
          <w:rFonts w:hint="eastAsia" w:ascii="仿宋_GB2312" w:hAnsi="微软雅黑" w:eastAsia="仿宋_GB2312" w:cs="宋体"/>
          <w:color w:val="444444"/>
          <w:sz w:val="30"/>
          <w:szCs w:val="30"/>
          <w:highlight w:val="none"/>
          <w:lang w:val="en-US" w:eastAsia="zh-CN"/>
        </w:rPr>
        <w:t>22</w:t>
      </w:r>
      <w:r>
        <w:rPr>
          <w:rFonts w:hint="eastAsia" w:ascii="仿宋_GB2312" w:hAnsi="微软雅黑" w:eastAsia="仿宋_GB2312" w:cs="宋体"/>
          <w:color w:val="444444"/>
          <w:sz w:val="30"/>
          <w:szCs w:val="30"/>
          <w:highlight w:val="none"/>
        </w:rPr>
        <w:t>年，本行高级管理层认真履行职责，</w:t>
      </w:r>
      <w:r>
        <w:rPr>
          <w:rFonts w:hint="eastAsia" w:ascii="仿宋_GB2312" w:hAnsi="仿宋" w:eastAsia="仿宋_GB2312" w:cs="宋体"/>
          <w:sz w:val="30"/>
          <w:szCs w:val="30"/>
          <w:highlight w:val="none"/>
        </w:rPr>
        <w:t>严格执行股东大会、董事会决议，认真执行年度预算，较好的完成了年度经营目标，</w:t>
      </w:r>
      <w:r>
        <w:rPr>
          <w:rFonts w:hint="eastAsia" w:ascii="仿宋_GB2312" w:hAnsi="微软雅黑" w:eastAsia="仿宋_GB2312" w:cs="宋体"/>
          <w:color w:val="444444"/>
          <w:sz w:val="30"/>
          <w:szCs w:val="30"/>
          <w:highlight w:val="none"/>
        </w:rPr>
        <w:t>体现了良好的执行力和创新精神，促进了我行规范化建设，为我行今后的发展奠定了良好的基础。</w:t>
      </w:r>
    </w:p>
    <w:p>
      <w:pPr>
        <w:shd w:val="clear" w:color="auto" w:fill="FFFFFF"/>
        <w:adjustRightInd/>
        <w:snapToGrid/>
        <w:spacing w:after="0" w:line="560" w:lineRule="exact"/>
        <w:ind w:firstLine="601"/>
        <w:rPr>
          <w:rFonts w:ascii="微软雅黑" w:hAnsi="微软雅黑" w:cs="宋体"/>
          <w:color w:val="444444"/>
          <w:sz w:val="18"/>
          <w:szCs w:val="18"/>
          <w:highlight w:val="none"/>
        </w:rPr>
      </w:pPr>
      <w:r>
        <w:rPr>
          <w:rFonts w:hint="eastAsia" w:ascii="仿宋_GB2312" w:hAnsi="微软雅黑" w:eastAsia="仿宋_GB2312" w:cs="宋体"/>
          <w:color w:val="444444"/>
          <w:sz w:val="30"/>
          <w:szCs w:val="30"/>
          <w:highlight w:val="none"/>
        </w:rPr>
        <w:t>20</w:t>
      </w:r>
      <w:r>
        <w:rPr>
          <w:rFonts w:hint="eastAsia" w:ascii="仿宋_GB2312" w:hAnsi="微软雅黑" w:eastAsia="仿宋_GB2312" w:cs="宋体"/>
          <w:color w:val="444444"/>
          <w:sz w:val="30"/>
          <w:szCs w:val="30"/>
          <w:highlight w:val="none"/>
          <w:lang w:val="en-US" w:eastAsia="zh-CN"/>
        </w:rPr>
        <w:t>22</w:t>
      </w:r>
      <w:r>
        <w:rPr>
          <w:rFonts w:hint="eastAsia" w:ascii="仿宋_GB2312" w:hAnsi="微软雅黑" w:eastAsia="仿宋_GB2312" w:cs="宋体"/>
          <w:color w:val="444444"/>
          <w:sz w:val="30"/>
          <w:szCs w:val="30"/>
          <w:highlight w:val="none"/>
        </w:rPr>
        <w:t>年，省联社对本行董事长、行长、监事长、副行长进行考评，其薪酬与考核评价结果相挂钩，并按照规定实施了绩效工资延期支付，做到了薪酬兑现期与风险暴露期相匹配。根据相关制度规定，本行对部分高管人员和基层支行行长，进行了审计</w:t>
      </w:r>
      <w:bookmarkStart w:id="97" w:name="OLE_LINK2"/>
      <w:bookmarkEnd w:id="97"/>
      <w:bookmarkStart w:id="98" w:name="OLE_LINK1"/>
      <w:bookmarkEnd w:id="98"/>
      <w:r>
        <w:rPr>
          <w:rFonts w:hint="eastAsia" w:ascii="仿宋_GB2312" w:hAnsi="微软雅黑" w:eastAsia="仿宋_GB2312" w:cs="宋体"/>
          <w:color w:val="444444"/>
          <w:sz w:val="30"/>
          <w:szCs w:val="30"/>
          <w:highlight w:val="none"/>
        </w:rPr>
        <w:t>，从审计的情况来看，被审计对象均无重大违规问题和风险损失。</w:t>
      </w:r>
    </w:p>
    <w:p>
      <w:pPr>
        <w:shd w:val="clear" w:color="auto" w:fill="FFFFFF"/>
        <w:adjustRightInd/>
        <w:snapToGrid/>
        <w:spacing w:before="360" w:after="360"/>
        <w:jc w:val="center"/>
        <w:outlineLvl w:val="0"/>
        <w:rPr>
          <w:rFonts w:ascii="黑体" w:hAnsi="黑体" w:eastAsia="黑体" w:cs="宋体"/>
          <w:b/>
          <w:bCs/>
          <w:color w:val="444444"/>
          <w:kern w:val="36"/>
          <w:sz w:val="36"/>
          <w:szCs w:val="36"/>
          <w:highlight w:val="none"/>
        </w:rPr>
      </w:pPr>
      <w:bookmarkStart w:id="99" w:name="_Toc194908734"/>
      <w:bookmarkEnd w:id="99"/>
      <w:bookmarkStart w:id="100" w:name="_Toc219553434"/>
      <w:bookmarkEnd w:id="100"/>
      <w:bookmarkStart w:id="101" w:name="_Toc194886355"/>
      <w:bookmarkEnd w:id="101"/>
      <w:bookmarkStart w:id="102" w:name="_Toc203486398"/>
      <w:bookmarkEnd w:id="102"/>
      <w:bookmarkStart w:id="103" w:name="_Toc219474591"/>
      <w:bookmarkEnd w:id="103"/>
      <w:bookmarkStart w:id="104" w:name="_Toc194887794"/>
      <w:bookmarkEnd w:id="104"/>
      <w:bookmarkStart w:id="105" w:name="_Toc219552594"/>
      <w:bookmarkEnd w:id="105"/>
      <w:r>
        <w:rPr>
          <w:rFonts w:hint="eastAsia" w:ascii="黑体" w:hAnsi="黑体" w:eastAsia="黑体" w:cs="宋体"/>
          <w:b/>
          <w:bCs/>
          <w:color w:val="444444"/>
          <w:kern w:val="36"/>
          <w:sz w:val="36"/>
          <w:szCs w:val="36"/>
          <w:highlight w:val="none"/>
        </w:rPr>
        <w:t>第五部分  重大事项</w:t>
      </w:r>
      <w:bookmarkStart w:id="106" w:name="_Toc194886356"/>
      <w:bookmarkEnd w:id="106"/>
      <w:bookmarkStart w:id="107" w:name="_Toc194887795"/>
      <w:bookmarkEnd w:id="107"/>
      <w:bookmarkStart w:id="108" w:name="_Toc203486399"/>
      <w:bookmarkEnd w:id="108"/>
      <w:bookmarkStart w:id="109" w:name="_Toc194908735"/>
      <w:bookmarkEnd w:id="109"/>
    </w:p>
    <w:p>
      <w:pPr>
        <w:spacing w:after="0" w:line="560" w:lineRule="exact"/>
        <w:ind w:firstLine="602" w:firstLineChars="200"/>
        <w:rPr>
          <w:rFonts w:ascii="微软雅黑" w:hAnsi="微软雅黑" w:cs="宋体"/>
          <w:color w:val="444444"/>
          <w:sz w:val="18"/>
          <w:szCs w:val="18"/>
          <w:highlight w:val="none"/>
        </w:rPr>
      </w:pPr>
      <w:bookmarkStart w:id="110" w:name="_Toc219474592"/>
      <w:bookmarkEnd w:id="110"/>
      <w:bookmarkStart w:id="111" w:name="_Toc219553435"/>
      <w:bookmarkEnd w:id="111"/>
      <w:bookmarkStart w:id="112" w:name="_Toc219552595"/>
      <w:bookmarkEnd w:id="112"/>
      <w:r>
        <w:rPr>
          <w:rFonts w:hint="eastAsia" w:ascii="黑体" w:hAnsi="黑体" w:eastAsia="黑体" w:cs="宋体"/>
          <w:b/>
          <w:color w:val="444444"/>
          <w:sz w:val="30"/>
          <w:szCs w:val="30"/>
          <w:highlight w:val="none"/>
        </w:rPr>
        <w:t xml:space="preserve">5.1 </w:t>
      </w:r>
      <w:r>
        <w:rPr>
          <w:rFonts w:hint="eastAsia" w:ascii="仿宋_GB2312" w:hAnsi="微软雅黑" w:eastAsia="仿宋_GB2312" w:cs="宋体"/>
          <w:color w:val="444444"/>
          <w:sz w:val="30"/>
          <w:szCs w:val="30"/>
          <w:highlight w:val="none"/>
        </w:rPr>
        <w:t xml:space="preserve"> 本行无作为被告的重大诉讼事项，未发生重大案件、重大差错等情况。</w:t>
      </w:r>
    </w:p>
    <w:p>
      <w:pPr>
        <w:shd w:val="clear" w:color="auto" w:fill="FFFFFF"/>
        <w:adjustRightInd/>
        <w:snapToGrid/>
        <w:spacing w:before="100" w:beforeAutospacing="1" w:after="100" w:afterAutospacing="1" w:line="600" w:lineRule="atLeast"/>
        <w:ind w:firstLine="600"/>
        <w:rPr>
          <w:rFonts w:ascii="仿宋_GB2312" w:hAnsi="微软雅黑" w:eastAsia="仿宋_GB2312" w:cs="宋体"/>
          <w:color w:val="444444"/>
          <w:sz w:val="30"/>
          <w:szCs w:val="30"/>
          <w:highlight w:val="none"/>
        </w:rPr>
      </w:pPr>
      <w:r>
        <w:rPr>
          <w:rFonts w:hint="eastAsia" w:ascii="黑体" w:hAnsi="黑体" w:eastAsia="黑体" w:cs="宋体"/>
          <w:b/>
          <w:color w:val="444444"/>
          <w:sz w:val="30"/>
          <w:szCs w:val="30"/>
          <w:highlight w:val="none"/>
        </w:rPr>
        <w:t xml:space="preserve">5.2  </w:t>
      </w:r>
      <w:r>
        <w:rPr>
          <w:rFonts w:hint="eastAsia" w:ascii="仿宋_GB2312" w:hAnsi="微软雅黑" w:eastAsia="仿宋_GB2312" w:cs="宋体"/>
          <w:color w:val="444444"/>
          <w:sz w:val="30"/>
          <w:szCs w:val="30"/>
          <w:highlight w:val="none"/>
        </w:rPr>
        <w:t>本行管理层认为正常业务中不存在对本行财务状况产生重大影响的法律诉讼事项。</w:t>
      </w:r>
    </w:p>
    <w:p>
      <w:pPr>
        <w:shd w:val="clear" w:color="auto" w:fill="FFFFFF"/>
        <w:adjustRightInd/>
        <w:snapToGrid/>
        <w:spacing w:before="100" w:beforeAutospacing="1" w:after="100" w:afterAutospacing="1" w:line="600" w:lineRule="atLeast"/>
        <w:ind w:firstLine="600"/>
        <w:rPr>
          <w:rFonts w:ascii="微软雅黑" w:hAnsi="微软雅黑" w:cs="宋体"/>
          <w:color w:val="444444"/>
          <w:sz w:val="18"/>
          <w:szCs w:val="18"/>
          <w:highlight w:val="none"/>
        </w:rPr>
      </w:pPr>
      <w:r>
        <w:rPr>
          <w:rFonts w:hint="eastAsia" w:ascii="黑体" w:hAnsi="黑体" w:eastAsia="黑体" w:cs="宋体"/>
          <w:b/>
          <w:color w:val="444444"/>
          <w:sz w:val="30"/>
          <w:szCs w:val="30"/>
          <w:highlight w:val="none"/>
        </w:rPr>
        <w:t>5.3</w:t>
      </w:r>
      <w:r>
        <w:rPr>
          <w:rFonts w:hint="eastAsia" w:ascii="宋体" w:hAnsi="宋体" w:eastAsia="宋体" w:cs="宋体"/>
          <w:b/>
          <w:color w:val="444444"/>
          <w:sz w:val="30"/>
          <w:szCs w:val="30"/>
          <w:highlight w:val="none"/>
        </w:rPr>
        <w:t> </w:t>
      </w:r>
      <w:r>
        <w:rPr>
          <w:rFonts w:hint="eastAsia" w:ascii="仿宋_GB2312" w:hAnsi="微软雅黑" w:eastAsia="仿宋_GB2312" w:cs="宋体"/>
          <w:color w:val="444444"/>
          <w:sz w:val="30"/>
          <w:szCs w:val="30"/>
          <w:highlight w:val="none"/>
        </w:rPr>
        <w:t>本行董事、监事、高级管理人员均未受到监管部门和司法部门处罚。</w:t>
      </w:r>
    </w:p>
    <w:p>
      <w:pPr>
        <w:shd w:val="clear" w:color="auto" w:fill="FFFFFF"/>
        <w:adjustRightInd/>
        <w:snapToGrid/>
        <w:spacing w:before="360" w:after="360"/>
        <w:ind w:firstLine="602" w:firstLineChars="200"/>
        <w:outlineLvl w:val="0"/>
        <w:rPr>
          <w:rFonts w:ascii="黑体" w:hAnsi="黑体" w:eastAsia="黑体" w:cs="宋体"/>
          <w:b/>
          <w:bCs/>
          <w:color w:val="444444"/>
          <w:kern w:val="36"/>
          <w:sz w:val="36"/>
          <w:szCs w:val="36"/>
          <w:highlight w:val="none"/>
        </w:rPr>
      </w:pPr>
      <w:r>
        <w:rPr>
          <w:rFonts w:hint="eastAsia" w:ascii="黑体" w:hAnsi="黑体" w:eastAsia="黑体" w:cs="宋体"/>
          <w:b/>
          <w:color w:val="444444"/>
          <w:sz w:val="30"/>
          <w:szCs w:val="30"/>
          <w:highlight w:val="none"/>
        </w:rPr>
        <w:t>5.4</w:t>
      </w:r>
      <w:r>
        <w:rPr>
          <w:rFonts w:hint="eastAsia" w:ascii="宋体" w:hAnsi="宋体" w:eastAsia="宋体" w:cs="宋体"/>
          <w:b/>
          <w:color w:val="444444"/>
          <w:sz w:val="30"/>
          <w:szCs w:val="30"/>
          <w:highlight w:val="none"/>
        </w:rPr>
        <w:t> </w:t>
      </w:r>
      <w:r>
        <w:rPr>
          <w:rFonts w:hint="eastAsia" w:ascii="仿宋_GB2312" w:hAnsi="微软雅黑" w:eastAsia="仿宋_GB2312" w:cs="宋体"/>
          <w:color w:val="444444"/>
          <w:sz w:val="30"/>
          <w:szCs w:val="30"/>
          <w:highlight w:val="none"/>
        </w:rPr>
        <w:t>本行无应披露的重大承诺事项。</w:t>
      </w:r>
    </w:p>
    <w:p>
      <w:pPr>
        <w:shd w:val="clear" w:color="auto" w:fill="FFFFFF"/>
        <w:adjustRightInd/>
        <w:snapToGrid/>
        <w:spacing w:before="480" w:after="360"/>
        <w:jc w:val="center"/>
        <w:outlineLvl w:val="0"/>
        <w:rPr>
          <w:rFonts w:ascii="黑体" w:hAnsi="黑体" w:eastAsia="黑体" w:cs="宋体"/>
          <w:b/>
          <w:bCs/>
          <w:color w:val="444444"/>
          <w:kern w:val="36"/>
          <w:sz w:val="36"/>
          <w:szCs w:val="36"/>
        </w:rPr>
      </w:pPr>
      <w:r>
        <w:rPr>
          <w:rFonts w:hint="eastAsia" w:ascii="黑体" w:hAnsi="黑体" w:eastAsia="黑体" w:cs="宋体"/>
          <w:b/>
          <w:bCs/>
          <w:color w:val="444444"/>
          <w:kern w:val="36"/>
          <w:sz w:val="36"/>
          <w:szCs w:val="36"/>
        </w:rPr>
        <w:t>第六部分  其他事项</w:t>
      </w:r>
    </w:p>
    <w:p>
      <w:pPr>
        <w:shd w:val="clear" w:color="auto" w:fill="FFFFFF"/>
        <w:adjustRightInd/>
        <w:snapToGrid/>
        <w:spacing w:before="100" w:beforeAutospacing="1" w:after="100" w:afterAutospacing="1" w:line="600" w:lineRule="atLeast"/>
        <w:ind w:firstLine="602" w:firstLineChars="200"/>
        <w:outlineLvl w:val="1"/>
        <w:rPr>
          <w:rFonts w:ascii="黑体" w:hAnsi="宋体" w:eastAsia="黑体" w:cs="Times New Roman"/>
          <w:b w:val="0"/>
          <w:bCs/>
          <w:sz w:val="32"/>
          <w:szCs w:val="32"/>
          <w:highlight w:val="yellow"/>
        </w:rPr>
      </w:pPr>
      <w:r>
        <w:rPr>
          <w:rFonts w:hint="eastAsia" w:ascii="黑体" w:hAnsi="黑体" w:eastAsia="黑体" w:cs="宋体"/>
          <w:b/>
          <w:color w:val="444444"/>
          <w:sz w:val="30"/>
          <w:szCs w:val="30"/>
          <w:highlight w:val="yellow"/>
        </w:rPr>
        <w:t xml:space="preserve">6.1  </w:t>
      </w:r>
      <w:r>
        <w:rPr>
          <w:rFonts w:hint="eastAsia" w:ascii="黑体" w:hAnsi="宋体" w:eastAsia="黑体" w:cs="Times New Roman"/>
          <w:b w:val="0"/>
          <w:bCs/>
          <w:sz w:val="32"/>
          <w:szCs w:val="32"/>
          <w:highlight w:val="yellow"/>
        </w:rPr>
        <w:t>存款保险落实情况</w:t>
      </w:r>
    </w:p>
    <w:p>
      <w:pPr>
        <w:spacing w:line="580" w:lineRule="exact"/>
        <w:rPr>
          <w:rFonts w:ascii="仿宋_GB2312" w:eastAsia="仿宋_GB2312" w:cs="Times New Roman"/>
          <w:sz w:val="32"/>
          <w:szCs w:val="32"/>
          <w:highlight w:val="yellow"/>
        </w:rPr>
      </w:pPr>
      <w:r>
        <w:rPr>
          <w:rFonts w:hint="eastAsia" w:ascii="仿宋_GB2312" w:eastAsia="仿宋_GB2312" w:cs="Times New Roman"/>
          <w:sz w:val="30"/>
          <w:szCs w:val="30"/>
          <w:highlight w:val="yellow"/>
        </w:rPr>
        <w:t xml:space="preserve">   </w:t>
      </w:r>
      <w:r>
        <w:rPr>
          <w:rFonts w:hint="eastAsia" w:ascii="仿宋_GB2312" w:eastAsia="仿宋_GB2312" w:cs="Times New Roman"/>
          <w:sz w:val="30"/>
          <w:szCs w:val="30"/>
          <w:highlight w:val="yellow"/>
          <w:lang w:val="en-US" w:eastAsia="zh-CN"/>
        </w:rPr>
        <w:t xml:space="preserve"> </w:t>
      </w:r>
      <w:r>
        <w:rPr>
          <w:rFonts w:hint="eastAsia" w:ascii="仿宋_GB2312" w:eastAsia="仿宋_GB2312" w:cs="Times New Roman"/>
          <w:sz w:val="30"/>
          <w:szCs w:val="30"/>
          <w:highlight w:val="yellow"/>
        </w:rPr>
        <w:t>本行严格按照《存款保险条例》规定，定期向中国人民银行缴纳存款保险保费。</w:t>
      </w:r>
      <w:r>
        <w:rPr>
          <w:rFonts w:hint="eastAsia" w:ascii="仿宋_GB2312" w:eastAsia="仿宋_GB2312" w:cs="Times New Roman"/>
          <w:color w:val="000000" w:themeColor="text1"/>
          <w:sz w:val="30"/>
          <w:szCs w:val="30"/>
          <w:highlight w:val="yellow"/>
          <w14:textFill>
            <w14:solidFill>
              <w14:schemeClr w14:val="tx1"/>
            </w14:solidFill>
          </w14:textFill>
        </w:rPr>
        <w:t>报告期20</w:t>
      </w:r>
      <w:r>
        <w:rPr>
          <w:rFonts w:hint="eastAsia" w:ascii="仿宋_GB2312" w:eastAsia="仿宋_GB2312" w:cs="Times New Roman"/>
          <w:color w:val="000000" w:themeColor="text1"/>
          <w:sz w:val="30"/>
          <w:szCs w:val="30"/>
          <w:highlight w:val="yellow"/>
          <w:lang w:val="en-US" w:eastAsia="zh-CN"/>
          <w14:textFill>
            <w14:solidFill>
              <w14:schemeClr w14:val="tx1"/>
            </w14:solidFill>
          </w14:textFill>
        </w:rPr>
        <w:t>22</w:t>
      </w:r>
      <w:r>
        <w:rPr>
          <w:rFonts w:hint="eastAsia" w:ascii="仿宋_GB2312" w:eastAsia="仿宋_GB2312" w:cs="Times New Roman"/>
          <w:color w:val="000000" w:themeColor="text1"/>
          <w:sz w:val="30"/>
          <w:szCs w:val="30"/>
          <w:highlight w:val="yellow"/>
          <w14:textFill>
            <w14:solidFill>
              <w14:schemeClr w14:val="tx1"/>
            </w14:solidFill>
          </w14:textFill>
        </w:rPr>
        <w:t>年度足额缴纳存款保险保费</w:t>
      </w:r>
      <w:r>
        <w:rPr>
          <w:rFonts w:hint="eastAsia" w:ascii="仿宋_GB2312" w:eastAsia="仿宋_GB2312" w:cs="Times New Roman"/>
          <w:color w:val="000000" w:themeColor="text1"/>
          <w:sz w:val="30"/>
          <w:szCs w:val="30"/>
          <w:highlight w:val="yellow"/>
          <w:lang w:val="en-US" w:eastAsia="zh-CN"/>
          <w14:textFill>
            <w14:solidFill>
              <w14:schemeClr w14:val="tx1"/>
            </w14:solidFill>
          </w14:textFill>
        </w:rPr>
        <w:t>520.89</w:t>
      </w:r>
      <w:r>
        <w:rPr>
          <w:rFonts w:hint="eastAsia" w:ascii="仿宋_GB2312" w:eastAsia="仿宋_GB2312" w:cs="Times New Roman"/>
          <w:color w:val="000000" w:themeColor="text1"/>
          <w:sz w:val="30"/>
          <w:szCs w:val="30"/>
          <w:highlight w:val="yellow"/>
          <w14:textFill>
            <w14:solidFill>
              <w14:schemeClr w14:val="tx1"/>
            </w14:solidFill>
          </w14:textFill>
        </w:rPr>
        <w:t>万元，</w:t>
      </w:r>
      <w:r>
        <w:rPr>
          <w:rFonts w:hint="eastAsia" w:ascii="仿宋_GB2312" w:eastAsia="仿宋_GB2312" w:cs="Times New Roman"/>
          <w:sz w:val="30"/>
          <w:szCs w:val="30"/>
          <w:highlight w:val="yellow"/>
        </w:rPr>
        <w:t>充分保护本行存款客户的合法权益。</w:t>
      </w:r>
    </w:p>
    <w:p>
      <w:pPr>
        <w:shd w:val="clear" w:color="auto" w:fill="FFFFFF"/>
        <w:adjustRightInd/>
        <w:snapToGrid/>
        <w:spacing w:before="100" w:beforeAutospacing="1" w:after="100" w:afterAutospacing="1" w:line="600" w:lineRule="atLeast"/>
        <w:jc w:val="center"/>
        <w:rPr>
          <w:rFonts w:ascii="微软雅黑" w:hAnsi="微软雅黑" w:cs="宋体"/>
          <w:color w:val="444444"/>
          <w:sz w:val="18"/>
          <w:szCs w:val="18"/>
          <w:highlight w:val="none"/>
        </w:rPr>
      </w:pPr>
      <w:r>
        <w:rPr>
          <w:rStyle w:val="7"/>
          <w:rFonts w:cs="Tahoma"/>
          <w:color w:val="333333"/>
          <w:sz w:val="27"/>
          <w:szCs w:val="27"/>
          <w:highlight w:val="none"/>
        </w:rPr>
        <w:t>      </w:t>
      </w:r>
      <w:r>
        <w:rPr>
          <w:rFonts w:hint="eastAsia" w:ascii="黑体" w:hAnsi="黑体" w:eastAsia="黑体" w:cs="宋体"/>
          <w:color w:val="444444"/>
          <w:sz w:val="36"/>
          <w:szCs w:val="36"/>
          <w:highlight w:val="none"/>
        </w:rPr>
        <w:t>第七部分　重要提示</w:t>
      </w:r>
    </w:p>
    <w:p>
      <w:pPr>
        <w:shd w:val="clear" w:color="auto" w:fill="FFFFFF"/>
        <w:adjustRightInd/>
        <w:snapToGrid/>
        <w:spacing w:before="100" w:beforeAutospacing="1" w:after="100" w:afterAutospacing="1" w:line="600" w:lineRule="atLeast"/>
        <w:ind w:firstLine="600"/>
        <w:rPr>
          <w:rFonts w:ascii="仿宋_GB2312" w:hAnsi="微软雅黑" w:eastAsia="仿宋_GB2312" w:cs="宋体"/>
          <w:color w:val="444444"/>
          <w:sz w:val="30"/>
          <w:szCs w:val="30"/>
          <w:highlight w:val="none"/>
        </w:rPr>
      </w:pPr>
      <w:r>
        <w:rPr>
          <w:rFonts w:hint="eastAsia" w:ascii="黑体" w:hAnsi="黑体" w:eastAsia="黑体" w:cs="宋体"/>
          <w:b/>
          <w:color w:val="444444"/>
          <w:sz w:val="30"/>
          <w:szCs w:val="30"/>
          <w:highlight w:val="none"/>
        </w:rPr>
        <w:t xml:space="preserve">7.1 </w:t>
      </w:r>
      <w:r>
        <w:rPr>
          <w:rFonts w:hint="eastAsia" w:ascii="仿宋_GB2312" w:hAnsi="微软雅黑" w:eastAsia="仿宋_GB2312" w:cs="宋体"/>
          <w:color w:val="444444"/>
          <w:sz w:val="30"/>
          <w:szCs w:val="30"/>
          <w:highlight w:val="none"/>
        </w:rPr>
        <w:t>本行董事会、监事会及董事、监事和高级管理人员保证本报告所载材料不存在任何虚假记载、误导性陈述或者重大遗漏，并对其内容的真实性、准确性和完整性承担连带责任。</w:t>
      </w:r>
    </w:p>
    <w:p>
      <w:pPr>
        <w:spacing w:line="560" w:lineRule="exact"/>
        <w:ind w:firstLine="602" w:firstLineChars="200"/>
        <w:rPr>
          <w:rFonts w:ascii="微软雅黑" w:hAnsi="微软雅黑" w:cs="宋体"/>
          <w:color w:val="444444"/>
          <w:sz w:val="18"/>
          <w:szCs w:val="18"/>
          <w:highlight w:val="none"/>
        </w:rPr>
      </w:pPr>
      <w:r>
        <w:rPr>
          <w:rFonts w:hint="eastAsia" w:ascii="黑体" w:hAnsi="黑体" w:eastAsia="黑体" w:cs="宋体"/>
          <w:b/>
          <w:color w:val="444444"/>
          <w:sz w:val="30"/>
          <w:szCs w:val="30"/>
          <w:highlight w:val="none"/>
        </w:rPr>
        <w:t xml:space="preserve">7.2  </w:t>
      </w:r>
      <w:r>
        <w:rPr>
          <w:rFonts w:hint="eastAsia" w:ascii="仿宋_GB2312" w:hAnsi="微软雅黑" w:eastAsia="仿宋_GB2312" w:cs="宋体"/>
          <w:color w:val="444444"/>
          <w:sz w:val="30"/>
          <w:szCs w:val="30"/>
          <w:highlight w:val="none"/>
        </w:rPr>
        <w:t>唐山汉华会计师事务所有限公司根据注册会计师审计准则，完成了对本行年度财务会计报告及附注的审计，并出具标准无保留意见的审计报告。</w:t>
      </w:r>
    </w:p>
    <w:p>
      <w:pPr>
        <w:shd w:val="clear" w:color="auto" w:fill="FFFFFF"/>
        <w:adjustRightInd/>
        <w:snapToGrid/>
        <w:spacing w:before="100" w:beforeAutospacing="1" w:after="100" w:afterAutospacing="1" w:line="600" w:lineRule="atLeast"/>
        <w:ind w:firstLine="602" w:firstLineChars="200"/>
        <w:rPr>
          <w:rFonts w:ascii="仿宋_GB2312" w:hAnsi="微软雅黑" w:eastAsia="仿宋_GB2312" w:cs="宋体"/>
          <w:color w:val="444444"/>
          <w:sz w:val="30"/>
          <w:szCs w:val="30"/>
          <w:highlight w:val="none"/>
        </w:rPr>
      </w:pPr>
      <w:r>
        <w:rPr>
          <w:rFonts w:hint="eastAsia" w:ascii="黑体" w:hAnsi="黑体" w:eastAsia="黑体" w:cs="宋体"/>
          <w:b/>
          <w:color w:val="444444"/>
          <w:sz w:val="30"/>
          <w:szCs w:val="30"/>
          <w:highlight w:val="none"/>
        </w:rPr>
        <w:t xml:space="preserve">7.3  </w:t>
      </w:r>
      <w:r>
        <w:rPr>
          <w:rFonts w:hint="eastAsia" w:ascii="仿宋_GB2312" w:hAnsi="微软雅黑" w:eastAsia="仿宋_GB2312" w:cs="宋体"/>
          <w:color w:val="444444"/>
          <w:sz w:val="30"/>
          <w:szCs w:val="30"/>
          <w:highlight w:val="none"/>
        </w:rPr>
        <w:t>本行董事长郝志刚、行长</w:t>
      </w:r>
      <w:r>
        <w:rPr>
          <w:rFonts w:hint="eastAsia" w:ascii="仿宋_GB2312" w:hAnsi="微软雅黑" w:eastAsia="仿宋_GB2312" w:cs="宋体"/>
          <w:color w:val="444444"/>
          <w:sz w:val="30"/>
          <w:szCs w:val="30"/>
          <w:highlight w:val="none"/>
          <w:lang w:val="en-US" w:eastAsia="zh-CN"/>
        </w:rPr>
        <w:t>窦永天</w:t>
      </w:r>
      <w:r>
        <w:rPr>
          <w:rFonts w:hint="eastAsia" w:ascii="仿宋_GB2312" w:hAnsi="微软雅黑" w:eastAsia="仿宋_GB2312" w:cs="宋体"/>
          <w:color w:val="444444"/>
          <w:sz w:val="30"/>
          <w:szCs w:val="30"/>
          <w:highlight w:val="none"/>
        </w:rPr>
        <w:t>及计划财务部经理辛凤霞保证年度报告中财务报告的真实、完整。</w:t>
      </w:r>
    </w:p>
    <w:p>
      <w:pPr>
        <w:shd w:val="clear" w:color="auto" w:fill="FFFFFF"/>
        <w:adjustRightInd/>
        <w:snapToGrid/>
        <w:spacing w:before="100" w:beforeAutospacing="1" w:after="100" w:afterAutospacing="1" w:line="600" w:lineRule="atLeast"/>
        <w:ind w:firstLine="602" w:firstLineChars="200"/>
        <w:rPr>
          <w:rFonts w:ascii="仿宋_GB2312" w:hAnsi="微软雅黑" w:eastAsia="仿宋_GB2312" w:cs="宋体"/>
          <w:color w:val="444444"/>
          <w:sz w:val="30"/>
          <w:szCs w:val="30"/>
          <w:highlight w:val="none"/>
        </w:rPr>
      </w:pPr>
      <w:r>
        <w:rPr>
          <w:rFonts w:hint="eastAsia" w:ascii="黑体" w:hAnsi="黑体" w:eastAsia="黑体" w:cs="宋体"/>
          <w:b/>
          <w:color w:val="444444"/>
          <w:sz w:val="30"/>
          <w:szCs w:val="30"/>
          <w:highlight w:val="none"/>
        </w:rPr>
        <w:t xml:space="preserve">7.4 </w:t>
      </w:r>
      <w:r>
        <w:rPr>
          <w:rFonts w:hint="eastAsia" w:ascii="仿宋_GB2312" w:hAnsi="微软雅黑" w:eastAsia="仿宋_GB2312" w:cs="宋体"/>
          <w:color w:val="444444"/>
          <w:sz w:val="30"/>
          <w:szCs w:val="30"/>
          <w:highlight w:val="none"/>
        </w:rPr>
        <w:t>年度报告备置地点：本行董事会办公室、各营业网点。</w:t>
      </w:r>
    </w:p>
    <w:p>
      <w:pPr>
        <w:shd w:val="clear" w:color="auto" w:fill="FFFFFF"/>
        <w:adjustRightInd/>
        <w:snapToGrid/>
        <w:spacing w:before="100" w:beforeAutospacing="1" w:after="100" w:afterAutospacing="1"/>
        <w:rPr>
          <w:rFonts w:ascii="仿宋_GB2312" w:hAnsi="微软雅黑" w:eastAsia="仿宋_GB2312" w:cs="宋体"/>
          <w:color w:val="444444"/>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1350" w:firstLineChars="450"/>
        <w:jc w:val="right"/>
        <w:textAlignment w:val="auto"/>
        <w:outlineLvl w:val="9"/>
        <w:rPr>
          <w:rFonts w:ascii="仿宋_GB2312" w:hAnsi="微软雅黑" w:eastAsia="仿宋_GB2312" w:cs="宋体"/>
          <w:color w:val="444444"/>
          <w:sz w:val="30"/>
          <w:szCs w:val="30"/>
          <w:highlight w:val="none"/>
        </w:rPr>
      </w:pPr>
      <w:r>
        <w:rPr>
          <w:rFonts w:hint="eastAsia" w:ascii="仿宋_GB2312" w:hAnsi="微软雅黑" w:eastAsia="仿宋_GB2312" w:cs="宋体"/>
          <w:color w:val="444444"/>
          <w:sz w:val="30"/>
          <w:szCs w:val="30"/>
          <w:highlight w:val="none"/>
          <w:lang w:val="en-US" w:eastAsia="zh-CN"/>
        </w:rPr>
        <w:t xml:space="preserve"> </w:t>
      </w:r>
      <w:r>
        <w:rPr>
          <w:rFonts w:hint="eastAsia" w:ascii="仿宋_GB2312" w:hAnsi="微软雅黑" w:eastAsia="仿宋_GB2312" w:cs="宋体"/>
          <w:color w:val="444444"/>
          <w:sz w:val="30"/>
          <w:szCs w:val="30"/>
          <w:highlight w:val="none"/>
        </w:rPr>
        <w:t xml:space="preserve">河北玉田农村商业银行股份有限公司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00" w:lineRule="exact"/>
        <w:ind w:firstLine="1350" w:firstLineChars="450"/>
        <w:jc w:val="center"/>
        <w:textAlignment w:val="auto"/>
        <w:outlineLvl w:val="9"/>
      </w:pPr>
      <w:r>
        <w:rPr>
          <w:rFonts w:hint="eastAsia" w:ascii="仿宋_GB2312" w:hAnsi="微软雅黑" w:eastAsia="仿宋_GB2312" w:cs="宋体"/>
          <w:color w:val="444444"/>
          <w:sz w:val="30"/>
          <w:szCs w:val="30"/>
          <w:highlight w:val="none"/>
          <w:lang w:val="en-US" w:eastAsia="zh-CN"/>
        </w:rPr>
        <w:t xml:space="preserve">                </w:t>
      </w:r>
      <w:r>
        <w:rPr>
          <w:rFonts w:hint="eastAsia" w:ascii="仿宋_GB2312" w:hAnsi="微软雅黑" w:eastAsia="仿宋_GB2312" w:cs="宋体"/>
          <w:b w:val="0"/>
          <w:bCs w:val="0"/>
          <w:color w:val="444444"/>
          <w:sz w:val="30"/>
          <w:szCs w:val="30"/>
          <w:highlight w:val="none"/>
          <w:lang w:val="en-US" w:eastAsia="zh-CN"/>
        </w:rPr>
        <w:t xml:space="preserve"> </w:t>
      </w:r>
      <w:r>
        <w:rPr>
          <w:rFonts w:hint="eastAsia" w:ascii="仿宋_GB2312" w:hAnsi="微软雅黑" w:eastAsia="仿宋_GB2312" w:cs="宋体"/>
          <w:b w:val="0"/>
          <w:bCs w:val="0"/>
          <w:color w:val="444444"/>
          <w:sz w:val="30"/>
          <w:szCs w:val="30"/>
          <w:highlight w:val="none"/>
        </w:rPr>
        <w:t>202</w:t>
      </w:r>
      <w:r>
        <w:rPr>
          <w:rFonts w:hint="eastAsia" w:ascii="仿宋_GB2312" w:hAnsi="微软雅黑" w:eastAsia="仿宋_GB2312" w:cs="宋体"/>
          <w:b w:val="0"/>
          <w:bCs w:val="0"/>
          <w:color w:val="444444"/>
          <w:sz w:val="30"/>
          <w:szCs w:val="30"/>
          <w:highlight w:val="none"/>
          <w:lang w:val="en-US" w:eastAsia="zh-CN"/>
        </w:rPr>
        <w:t>3</w:t>
      </w:r>
      <w:r>
        <w:rPr>
          <w:rFonts w:hint="eastAsia" w:ascii="仿宋_GB2312" w:hAnsi="微软雅黑" w:eastAsia="仿宋_GB2312" w:cs="宋体"/>
          <w:b w:val="0"/>
          <w:bCs w:val="0"/>
          <w:color w:val="444444"/>
          <w:sz w:val="30"/>
          <w:szCs w:val="30"/>
          <w:highlight w:val="none"/>
        </w:rPr>
        <w:t>年</w:t>
      </w:r>
      <w:r>
        <w:rPr>
          <w:rFonts w:hint="eastAsia" w:ascii="仿宋_GB2312" w:hAnsi="微软雅黑" w:eastAsia="仿宋_GB2312" w:cs="宋体"/>
          <w:b w:val="0"/>
          <w:bCs w:val="0"/>
          <w:color w:val="444444"/>
          <w:sz w:val="30"/>
          <w:szCs w:val="30"/>
          <w:highlight w:val="none"/>
          <w:lang w:val="en-US" w:eastAsia="zh-CN"/>
        </w:rPr>
        <w:t>3</w:t>
      </w:r>
      <w:r>
        <w:rPr>
          <w:rFonts w:hint="eastAsia" w:ascii="仿宋_GB2312" w:hAnsi="微软雅黑" w:eastAsia="仿宋_GB2312" w:cs="宋体"/>
          <w:b w:val="0"/>
          <w:bCs w:val="0"/>
          <w:color w:val="444444"/>
          <w:sz w:val="30"/>
          <w:szCs w:val="30"/>
          <w:highlight w:val="none"/>
        </w:rPr>
        <w:t>月</w:t>
      </w:r>
      <w:r>
        <w:rPr>
          <w:rFonts w:hint="eastAsia" w:ascii="仿宋_GB2312" w:hAnsi="微软雅黑" w:eastAsia="仿宋_GB2312" w:cs="宋体"/>
          <w:b w:val="0"/>
          <w:bCs w:val="0"/>
          <w:color w:val="444444"/>
          <w:sz w:val="30"/>
          <w:szCs w:val="30"/>
          <w:highlight w:val="none"/>
          <w:lang w:val="en-US" w:eastAsia="zh-CN"/>
        </w:rPr>
        <w:t>16</w:t>
      </w:r>
      <w:r>
        <w:rPr>
          <w:rFonts w:hint="eastAsia" w:ascii="仿宋_GB2312" w:hAnsi="微软雅黑" w:eastAsia="仿宋_GB2312" w:cs="宋体"/>
          <w:b w:val="0"/>
          <w:bCs w:val="0"/>
          <w:color w:val="444444"/>
          <w:sz w:val="30"/>
          <w:szCs w:val="30"/>
          <w:highlight w:val="none"/>
        </w:rPr>
        <w:t>日</w:t>
      </w:r>
      <w:r>
        <w:rPr>
          <w:rFonts w:hint="eastAsia" w:ascii="仿宋_GB2312" w:hAnsi="微软雅黑" w:eastAsia="仿宋_GB2312" w:cs="宋体"/>
          <w:color w:val="444444"/>
          <w:sz w:val="30"/>
          <w:szCs w:val="30"/>
          <w:highlight w:val="none"/>
        </w:rPr>
        <w:t xml:space="preserve"> </w:t>
      </w:r>
    </w:p>
    <w:sectPr>
      <w:footerReference r:id="rId4" w:type="default"/>
      <w:pgSz w:w="11906" w:h="16838"/>
      <w:pgMar w:top="1440" w:right="1800" w:bottom="1440" w:left="1800" w:header="708" w:footer="708" w:gutter="0"/>
      <w:pgNumType w:fmt="numberInDash" w:start="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sdt>
                            <w:sdtPr>
                              <w:id w:val="3722330"/>
                            </w:sdtPr>
                            <w:sdtContent>
                              <w:r>
                                <w:fldChar w:fldCharType="begin"/>
                              </w:r>
                              <w:r>
                                <w:instrText xml:space="preserve"> PAGE   \* MERGEFORMAT </w:instrText>
                              </w:r>
                              <w:r>
                                <w:fldChar w:fldCharType="separate"/>
                              </w:r>
                              <w:r>
                                <w:rPr>
                                  <w:lang w:val="zh-CN"/>
                                </w:rPr>
                                <w:t>13</w:t>
                              </w:r>
                              <w:r>
                                <w:rPr>
                                  <w:lang w:val="zh-CN"/>
                                </w:rPr>
                                <w:fldChar w:fldCharType="end"/>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sdt>
                      <w:sdtPr>
                        <w:id w:val="3722330"/>
                      </w:sdtPr>
                      <w:sdtContent>
                        <w:r>
                          <w:fldChar w:fldCharType="begin"/>
                        </w:r>
                        <w:r>
                          <w:instrText xml:space="preserve"> PAGE   \* MERGEFORMAT </w:instrText>
                        </w:r>
                        <w:r>
                          <w:fldChar w:fldCharType="separate"/>
                        </w:r>
                        <w:r>
                          <w:rPr>
                            <w:lang w:val="zh-CN"/>
                          </w:rPr>
                          <w:t>13</w:t>
                        </w:r>
                        <w:r>
                          <w:rPr>
                            <w:lang w:val="zh-CN"/>
                          </w:rPr>
                          <w:fldChar w:fldCharType="end"/>
                        </w:r>
                      </w:sdtContent>
                    </w:sdt>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ZjY2ZWNiYTg1YWFhODVkM2IzMGI1NmIzNzc5NTUifQ=="/>
  </w:docVars>
  <w:rsids>
    <w:rsidRoot w:val="3F876BDE"/>
    <w:rsid w:val="003D6AE0"/>
    <w:rsid w:val="0560706F"/>
    <w:rsid w:val="09B805B9"/>
    <w:rsid w:val="18E02F69"/>
    <w:rsid w:val="1A5C4BDB"/>
    <w:rsid w:val="2FEC4ED7"/>
    <w:rsid w:val="33B226F9"/>
    <w:rsid w:val="34BF586F"/>
    <w:rsid w:val="3F876BDE"/>
    <w:rsid w:val="50E6644B"/>
    <w:rsid w:val="55F606D1"/>
    <w:rsid w:val="6F2D0AAA"/>
    <w:rsid w:val="70C26FB3"/>
    <w:rsid w:val="7122682D"/>
    <w:rsid w:val="786A385A"/>
    <w:rsid w:val="7B06544F"/>
    <w:rsid w:val="7EEB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14382</Words>
  <Characters>18957</Characters>
  <Lines>0</Lines>
  <Paragraphs>0</Paragraphs>
  <TotalTime>16</TotalTime>
  <ScaleCrop>false</ScaleCrop>
  <LinksUpToDate>false</LinksUpToDate>
  <CharactersWithSpaces>19406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2022-03-14T02:24:00Z</dcterms:created>
  <dc:creator>WPS_1521390317</dc:creator>
  <cp:lastModifiedBy>_</cp:lastModifiedBy>
  <dcterms:modified xsi:type="dcterms:W3CDTF">2023-08-02T07:27:24Z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794796EC41D64BA4B2CB419685150D68_13</vt:lpwstr>
  </property>
</Properties>
</file>